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ADFFB" w14:textId="77777777" w:rsidR="005C516C" w:rsidRPr="005C516C" w:rsidRDefault="005C516C" w:rsidP="005C516C">
      <w:pPr>
        <w:pStyle w:val="Heading1"/>
        <w:rPr>
          <w:lang w:val="en-US"/>
        </w:rPr>
      </w:pPr>
      <w:r w:rsidRPr="005C516C">
        <w:rPr>
          <w:lang w:val="en-US"/>
        </w:rPr>
        <w:t>ENHERTU</w:t>
      </w:r>
    </w:p>
    <w:p w14:paraId="594F6AA9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Category</w:t>
      </w:r>
    </w:p>
    <w:p w14:paraId="56BBC45D" w14:textId="77777777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>Best Biotechnology Product</w:t>
      </w:r>
    </w:p>
    <w:p w14:paraId="7C68FDFF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Drug Or Device Name</w:t>
      </w:r>
    </w:p>
    <w:p w14:paraId="62E51426" w14:textId="77777777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>ENHERTU</w:t>
      </w:r>
    </w:p>
    <w:p w14:paraId="0942E108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Compound Technical Name</w:t>
      </w:r>
    </w:p>
    <w:p w14:paraId="65BFA09C" w14:textId="77777777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 xml:space="preserve">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(fam-trastuzumab </w:t>
      </w:r>
      <w:proofErr w:type="spellStart"/>
      <w:r w:rsidRPr="005C516C">
        <w:rPr>
          <w:lang w:val="en-US"/>
        </w:rPr>
        <w:t>deruxtecan-nxki</w:t>
      </w:r>
      <w:proofErr w:type="spellEnd"/>
      <w:r w:rsidRPr="005C516C">
        <w:rPr>
          <w:lang w:val="en-US"/>
        </w:rPr>
        <w:t xml:space="preserve"> in the United States only;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rest of world; T-DXd, formerly DS-8201)</w:t>
      </w:r>
    </w:p>
    <w:p w14:paraId="03815D10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Trade Name</w:t>
      </w:r>
    </w:p>
    <w:p w14:paraId="14DBE0DE" w14:textId="77777777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>ENHERTU</w:t>
      </w:r>
    </w:p>
    <w:p w14:paraId="524E6503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Date Of Approval</w:t>
      </w:r>
    </w:p>
    <w:p w14:paraId="2485FF0E" w14:textId="24A6F89A" w:rsidR="005C516C" w:rsidRPr="005C516C" w:rsidRDefault="005A49DF" w:rsidP="005C516C">
      <w:pPr>
        <w:pStyle w:val="NormalWeb"/>
        <w:rPr>
          <w:lang w:val="en-US"/>
        </w:rPr>
      </w:pPr>
      <w:r>
        <w:rPr>
          <w:lang w:val="en-US"/>
        </w:rPr>
        <w:t>12</w:t>
      </w:r>
      <w:r w:rsidR="005C516C" w:rsidRPr="005C516C">
        <w:rPr>
          <w:lang w:val="en-US"/>
        </w:rPr>
        <w:t>/</w:t>
      </w:r>
      <w:r>
        <w:rPr>
          <w:lang w:val="en-US"/>
        </w:rPr>
        <w:t>20</w:t>
      </w:r>
      <w:r w:rsidR="005C516C" w:rsidRPr="005C516C">
        <w:rPr>
          <w:lang w:val="en-US"/>
        </w:rPr>
        <w:t>/20</w:t>
      </w:r>
      <w:r>
        <w:rPr>
          <w:lang w:val="en-US"/>
        </w:rPr>
        <w:t>19</w:t>
      </w:r>
    </w:p>
    <w:p w14:paraId="43968331" w14:textId="77777777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Therapeutic Categories</w:t>
      </w:r>
    </w:p>
    <w:p w14:paraId="0033D71B" w14:textId="3A3446AA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>HER2</w:t>
      </w:r>
      <w:r w:rsidR="00C75859">
        <w:rPr>
          <w:lang w:val="en-US"/>
        </w:rPr>
        <w:t>-</w:t>
      </w:r>
      <w:r w:rsidR="005A49DF">
        <w:rPr>
          <w:lang w:val="en-US"/>
        </w:rPr>
        <w:t>expressing</w:t>
      </w:r>
      <w:r w:rsidRPr="005C516C">
        <w:rPr>
          <w:lang w:val="en-US"/>
        </w:rPr>
        <w:t xml:space="preserve"> </w:t>
      </w:r>
      <w:r w:rsidR="00C75859">
        <w:rPr>
          <w:lang w:val="en-US"/>
        </w:rPr>
        <w:t xml:space="preserve">or </w:t>
      </w:r>
      <w:r w:rsidR="00C75859" w:rsidRPr="00873D75">
        <w:rPr>
          <w:i/>
          <w:iCs/>
          <w:lang w:val="en-US"/>
        </w:rPr>
        <w:t>HER2</w:t>
      </w:r>
      <w:r w:rsidR="00C75859">
        <w:rPr>
          <w:lang w:val="en-US"/>
        </w:rPr>
        <w:t xml:space="preserve">-mutant </w:t>
      </w:r>
      <w:r w:rsidR="00EC0D19">
        <w:rPr>
          <w:lang w:val="en-US"/>
        </w:rPr>
        <w:t xml:space="preserve">solid </w:t>
      </w:r>
      <w:r w:rsidRPr="005C516C">
        <w:rPr>
          <w:lang w:val="en-US"/>
        </w:rPr>
        <w:t>tumors</w:t>
      </w:r>
    </w:p>
    <w:p w14:paraId="5FCFD44A" w14:textId="3C3CDCF0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Indications</w:t>
      </w:r>
      <w:r w:rsidR="00432970">
        <w:rPr>
          <w:lang w:val="en-US"/>
        </w:rPr>
        <w:t xml:space="preserve"> (</w:t>
      </w:r>
      <w:r w:rsidR="00944763">
        <w:rPr>
          <w:lang w:val="en-US"/>
        </w:rPr>
        <w:t>300</w:t>
      </w:r>
      <w:r w:rsidR="00432970">
        <w:rPr>
          <w:lang w:val="en-US"/>
        </w:rPr>
        <w:t>/300)</w:t>
      </w:r>
    </w:p>
    <w:p w14:paraId="61DAAD86" w14:textId="7D5E1904" w:rsidR="00B426F5" w:rsidRDefault="0090131E" w:rsidP="005C516C">
      <w:pPr>
        <w:pStyle w:val="NormalWeb"/>
        <w:rPr>
          <w:lang w:val="en-US"/>
        </w:rPr>
      </w:pPr>
      <w:bookmarkStart w:id="0" w:name="_Hlk133256777"/>
      <w:r w:rsidRPr="0090131E">
        <w:rPr>
          <w:lang w:val="en-US"/>
        </w:rPr>
        <w:t>ENHERTU</w:t>
      </w:r>
      <w:r w:rsidRPr="00F419EA">
        <w:rPr>
          <w:vertAlign w:val="superscript"/>
          <w:lang w:val="en-US"/>
        </w:rPr>
        <w:t>®</w:t>
      </w:r>
      <w:r w:rsidRPr="0090131E">
        <w:rPr>
          <w:lang w:val="en-US"/>
        </w:rPr>
        <w:t xml:space="preserve"> is </w:t>
      </w:r>
      <w:bookmarkEnd w:id="0"/>
      <w:r w:rsidR="001810AF">
        <w:rPr>
          <w:lang w:val="en-US"/>
        </w:rPr>
        <w:t xml:space="preserve">currently </w:t>
      </w:r>
      <w:r w:rsidRPr="0090131E">
        <w:rPr>
          <w:lang w:val="en-US"/>
        </w:rPr>
        <w:t xml:space="preserve">approved </w:t>
      </w:r>
      <w:r w:rsidR="001810AF">
        <w:rPr>
          <w:lang w:val="en-US"/>
        </w:rPr>
        <w:t xml:space="preserve">globally </w:t>
      </w:r>
      <w:r w:rsidR="00B426F5">
        <w:rPr>
          <w:lang w:val="en-US"/>
        </w:rPr>
        <w:t xml:space="preserve">for </w:t>
      </w:r>
      <w:r w:rsidR="00623A0E">
        <w:rPr>
          <w:lang w:val="en-US"/>
        </w:rPr>
        <w:t xml:space="preserve">certain </w:t>
      </w:r>
      <w:r w:rsidR="00B426F5">
        <w:rPr>
          <w:lang w:val="en-US"/>
        </w:rPr>
        <w:t>patients with breast cancer</w:t>
      </w:r>
      <w:r w:rsidR="00014612">
        <w:rPr>
          <w:lang w:val="en-US"/>
        </w:rPr>
        <w:t xml:space="preserve"> (BC)</w:t>
      </w:r>
      <w:r w:rsidR="00B426F5">
        <w:rPr>
          <w:lang w:val="en-US"/>
        </w:rPr>
        <w:t xml:space="preserve">, </w:t>
      </w:r>
      <w:r w:rsidR="00B426F5" w:rsidRPr="0090131E">
        <w:rPr>
          <w:lang w:val="en-US"/>
        </w:rPr>
        <w:t>gastric or gastroesophageal junction (GEJ) adenocarcinoma</w:t>
      </w:r>
      <w:r w:rsidR="00B426F5">
        <w:rPr>
          <w:lang w:val="en-US"/>
        </w:rPr>
        <w:t>, and non</w:t>
      </w:r>
      <w:r w:rsidR="00913827">
        <w:rPr>
          <w:lang w:val="en-US"/>
        </w:rPr>
        <w:t>–</w:t>
      </w:r>
      <w:r w:rsidR="00B426F5">
        <w:rPr>
          <w:lang w:val="en-US"/>
        </w:rPr>
        <w:t xml:space="preserve">small cell </w:t>
      </w:r>
      <w:r w:rsidR="00623A0E">
        <w:rPr>
          <w:lang w:val="en-US"/>
        </w:rPr>
        <w:t>lung cancer</w:t>
      </w:r>
      <w:r w:rsidR="00B426F5">
        <w:rPr>
          <w:lang w:val="en-US"/>
        </w:rPr>
        <w:t xml:space="preserve"> (NSCLC</w:t>
      </w:r>
      <w:r w:rsidR="00623A0E">
        <w:rPr>
          <w:lang w:val="en-US"/>
        </w:rPr>
        <w:t>; accelerated approval</w:t>
      </w:r>
      <w:r w:rsidR="00B426F5">
        <w:rPr>
          <w:lang w:val="en-US"/>
        </w:rPr>
        <w:t>)</w:t>
      </w:r>
      <w:r w:rsidR="00260F4A">
        <w:rPr>
          <w:lang w:val="en-US"/>
        </w:rPr>
        <w:t>;</w:t>
      </w:r>
      <w:r w:rsidR="000B0DF7">
        <w:rPr>
          <w:lang w:val="en-US"/>
        </w:rPr>
        <w:t xml:space="preserve"> further details </w:t>
      </w:r>
      <w:r w:rsidR="00260F4A">
        <w:rPr>
          <w:lang w:val="en-US"/>
        </w:rPr>
        <w:t>follow</w:t>
      </w:r>
      <w:r w:rsidR="00681770">
        <w:rPr>
          <w:lang w:val="en-US"/>
        </w:rPr>
        <w:t>.</w:t>
      </w:r>
      <w:r w:rsidR="00B426F5">
        <w:rPr>
          <w:lang w:val="en-US"/>
        </w:rPr>
        <w:t xml:space="preserve"> </w:t>
      </w:r>
    </w:p>
    <w:p w14:paraId="0ADB32C4" w14:textId="68DC0BAC" w:rsidR="0090131E" w:rsidRDefault="000B0DF7" w:rsidP="005C516C">
      <w:pPr>
        <w:pStyle w:val="NormalWeb"/>
        <w:rPr>
          <w:lang w:val="en-US"/>
        </w:rPr>
      </w:pPr>
      <w:r w:rsidRPr="0090131E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Pr="0090131E">
        <w:rPr>
          <w:lang w:val="en-US"/>
        </w:rPr>
        <w:t xml:space="preserve"> is </w:t>
      </w:r>
      <w:r>
        <w:rPr>
          <w:lang w:val="en-US"/>
        </w:rPr>
        <w:t xml:space="preserve">approved </w:t>
      </w:r>
      <w:r w:rsidR="0090131E" w:rsidRPr="0090131E">
        <w:rPr>
          <w:lang w:val="en-US"/>
        </w:rPr>
        <w:t>in more than 40 countries for the treatment of adult patients with unresectable or metastatic HER2</w:t>
      </w:r>
      <w:r w:rsidR="007806A9">
        <w:rPr>
          <w:lang w:val="en-US"/>
        </w:rPr>
        <w:t>-</w:t>
      </w:r>
      <w:r w:rsidR="0090131E" w:rsidRPr="0090131E">
        <w:rPr>
          <w:lang w:val="en-US"/>
        </w:rPr>
        <w:t xml:space="preserve">positive </w:t>
      </w:r>
      <w:r w:rsidR="00B85CAE">
        <w:rPr>
          <w:lang w:val="en-US"/>
        </w:rPr>
        <w:t>BC</w:t>
      </w:r>
      <w:r w:rsidR="0090131E" w:rsidRPr="0090131E">
        <w:rPr>
          <w:lang w:val="en-US"/>
        </w:rPr>
        <w:t xml:space="preserve"> who have received </w:t>
      </w:r>
      <w:r w:rsidR="00A1222A">
        <w:rPr>
          <w:lang w:val="en-US"/>
        </w:rPr>
        <w:t>1</w:t>
      </w:r>
      <w:r w:rsidR="0090131E" w:rsidRPr="0090131E">
        <w:rPr>
          <w:lang w:val="en-US"/>
        </w:rPr>
        <w:t xml:space="preserve"> or more prior anti</w:t>
      </w:r>
      <w:r w:rsidR="0090131E">
        <w:rPr>
          <w:lang w:val="en-US"/>
        </w:rPr>
        <w:t>-</w:t>
      </w:r>
      <w:r w:rsidR="0090131E" w:rsidRPr="0090131E">
        <w:rPr>
          <w:lang w:val="en-US"/>
        </w:rPr>
        <w:t>HER2-based regimen</w:t>
      </w:r>
      <w:r w:rsidR="005F1720">
        <w:rPr>
          <w:lang w:val="en-US"/>
        </w:rPr>
        <w:t>(s)</w:t>
      </w:r>
      <w:r w:rsidR="0090131E" w:rsidRPr="0090131E">
        <w:rPr>
          <w:lang w:val="en-US"/>
        </w:rPr>
        <w:t>, either in the metastatic setting or in the neoadjuvant or adjuvant setting</w:t>
      </w:r>
      <w:r w:rsidR="005F1720">
        <w:rPr>
          <w:lang w:val="en-US"/>
        </w:rPr>
        <w:t>,</w:t>
      </w:r>
      <w:r w:rsidR="0090131E" w:rsidRPr="0090131E">
        <w:rPr>
          <w:lang w:val="en-US"/>
        </w:rPr>
        <w:t xml:space="preserve"> and </w:t>
      </w:r>
      <w:r w:rsidR="005F1720">
        <w:rPr>
          <w:lang w:val="en-US"/>
        </w:rPr>
        <w:t xml:space="preserve">who </w:t>
      </w:r>
      <w:r w:rsidR="0090131E" w:rsidRPr="0090131E">
        <w:rPr>
          <w:lang w:val="en-US"/>
        </w:rPr>
        <w:t xml:space="preserve">have developed disease recurrence during or within </w:t>
      </w:r>
      <w:r w:rsidR="005F1720">
        <w:rPr>
          <w:lang w:val="en-US"/>
        </w:rPr>
        <w:t>6</w:t>
      </w:r>
      <w:r w:rsidR="0090131E" w:rsidRPr="0090131E">
        <w:rPr>
          <w:lang w:val="en-US"/>
        </w:rPr>
        <w:t xml:space="preserve"> months of completing therapy</w:t>
      </w:r>
      <w:r w:rsidR="00594930">
        <w:rPr>
          <w:lang w:val="en-US"/>
        </w:rPr>
        <w:t>,</w:t>
      </w:r>
      <w:r w:rsidR="0090131E" w:rsidRPr="0090131E">
        <w:rPr>
          <w:lang w:val="en-US"/>
        </w:rPr>
        <w:t xml:space="preserve"> based on the results from the DESTINY-Breast03 trial.</w:t>
      </w:r>
      <w:r w:rsidR="00F82838">
        <w:rPr>
          <w:lang w:val="en-US"/>
        </w:rPr>
        <w:t xml:space="preserve"> </w:t>
      </w:r>
      <w:r w:rsidR="00F82838" w:rsidRPr="0090131E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="00F82838">
        <w:rPr>
          <w:lang w:val="en-US"/>
        </w:rPr>
        <w:t xml:space="preserve"> is also approved in approximately 40 countries for the treatment of adult patients with unresectable o</w:t>
      </w:r>
      <w:r w:rsidR="0090740A">
        <w:rPr>
          <w:lang w:val="en-US"/>
        </w:rPr>
        <w:t>r</w:t>
      </w:r>
      <w:r w:rsidR="00F82838">
        <w:rPr>
          <w:lang w:val="en-US"/>
        </w:rPr>
        <w:t xml:space="preserve"> metastatic HER2</w:t>
      </w:r>
      <w:r w:rsidR="00594930">
        <w:rPr>
          <w:lang w:val="en-US"/>
        </w:rPr>
        <w:t>-</w:t>
      </w:r>
      <w:r w:rsidR="00F82838">
        <w:rPr>
          <w:lang w:val="en-US"/>
        </w:rPr>
        <w:t xml:space="preserve">positive </w:t>
      </w:r>
      <w:r w:rsidR="00B85CAE">
        <w:rPr>
          <w:lang w:val="en-US"/>
        </w:rPr>
        <w:t>BC</w:t>
      </w:r>
      <w:r w:rsidR="00F82838">
        <w:rPr>
          <w:lang w:val="en-US"/>
        </w:rPr>
        <w:t xml:space="preserve"> who have received </w:t>
      </w:r>
      <w:r w:rsidR="005F1720">
        <w:rPr>
          <w:lang w:val="en-US"/>
        </w:rPr>
        <w:t>2</w:t>
      </w:r>
      <w:r w:rsidR="00F82838">
        <w:rPr>
          <w:lang w:val="en-US"/>
        </w:rPr>
        <w:t xml:space="preserve"> or more prior anti-HER2-based regimens, based on results from the DESTINY-Breast01 trial. </w:t>
      </w:r>
    </w:p>
    <w:p w14:paraId="17C7E818" w14:textId="16E332EC" w:rsidR="0090131E" w:rsidRDefault="0090131E" w:rsidP="0090131E">
      <w:pPr>
        <w:pStyle w:val="NormalWeb"/>
        <w:spacing w:before="0" w:beforeAutospacing="0" w:after="0" w:afterAutospacing="0"/>
        <w:rPr>
          <w:lang w:val="en-US"/>
        </w:rPr>
      </w:pPr>
      <w:r w:rsidRPr="0090131E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>
        <w:rPr>
          <w:lang w:val="en-US"/>
        </w:rPr>
        <w:t xml:space="preserve"> </w:t>
      </w:r>
      <w:r w:rsidRPr="0090131E">
        <w:rPr>
          <w:lang w:val="en-US"/>
        </w:rPr>
        <w:t>is approved in more than 30 countries for the treatment of adult patients with unresectable or metastatic HER2</w:t>
      </w:r>
      <w:r w:rsidR="00307060">
        <w:rPr>
          <w:lang w:val="en-US"/>
        </w:rPr>
        <w:t>-</w:t>
      </w:r>
      <w:r w:rsidRPr="0090131E">
        <w:rPr>
          <w:lang w:val="en-US"/>
        </w:rPr>
        <w:t>low (</w:t>
      </w:r>
      <w:r w:rsidR="00F87882">
        <w:rPr>
          <w:lang w:val="en-US"/>
        </w:rPr>
        <w:t>immunohistochemistry [</w:t>
      </w:r>
      <w:r w:rsidRPr="0090131E">
        <w:rPr>
          <w:lang w:val="en-US"/>
        </w:rPr>
        <w:t>IHC</w:t>
      </w:r>
      <w:r w:rsidR="00F87882">
        <w:rPr>
          <w:lang w:val="en-US"/>
        </w:rPr>
        <w:t>]</w:t>
      </w:r>
      <w:r w:rsidRPr="0090131E">
        <w:rPr>
          <w:lang w:val="en-US"/>
        </w:rPr>
        <w:t xml:space="preserve"> 1+ or IHC 2+/</w:t>
      </w:r>
      <w:r w:rsidR="00F87882">
        <w:rPr>
          <w:lang w:val="en-US"/>
        </w:rPr>
        <w:t>in situ hybridization [</w:t>
      </w:r>
      <w:r w:rsidRPr="0090131E">
        <w:rPr>
          <w:lang w:val="en-US"/>
        </w:rPr>
        <w:t>ISH</w:t>
      </w:r>
      <w:r w:rsidR="00F87882">
        <w:rPr>
          <w:lang w:val="en-US"/>
        </w:rPr>
        <w:t>]</w:t>
      </w:r>
      <w:r w:rsidR="00913827">
        <w:rPr>
          <w:rFonts w:ascii="Arial" w:hAnsi="Arial" w:cs="Arial"/>
          <w:lang w:val="en-US"/>
        </w:rPr>
        <w:t>−</w:t>
      </w:r>
      <w:r w:rsidRPr="0090131E">
        <w:rPr>
          <w:lang w:val="en-US"/>
        </w:rPr>
        <w:t xml:space="preserve">) </w:t>
      </w:r>
      <w:r w:rsidR="00B85CAE">
        <w:rPr>
          <w:lang w:val="en-US"/>
        </w:rPr>
        <w:t>BC</w:t>
      </w:r>
      <w:r w:rsidRPr="0090131E">
        <w:rPr>
          <w:lang w:val="en-US"/>
        </w:rPr>
        <w:t xml:space="preserve"> who have received a prior systemic therapy in the metastatic setting or developed disease recurrence during or within </w:t>
      </w:r>
      <w:r w:rsidR="005F1720">
        <w:rPr>
          <w:lang w:val="en-US"/>
        </w:rPr>
        <w:t>6</w:t>
      </w:r>
      <w:r w:rsidRPr="0090131E">
        <w:rPr>
          <w:lang w:val="en-US"/>
        </w:rPr>
        <w:t xml:space="preserve"> months of completing adjuvant </w:t>
      </w:r>
      <w:r w:rsidRPr="0090131E">
        <w:rPr>
          <w:lang w:val="en-US"/>
        </w:rPr>
        <w:lastRenderedPageBreak/>
        <w:t>chemotherapy</w:t>
      </w:r>
      <w:r w:rsidR="00AE4A80">
        <w:rPr>
          <w:lang w:val="en-US"/>
        </w:rPr>
        <w:t>,</w:t>
      </w:r>
      <w:r w:rsidRPr="0090131E">
        <w:rPr>
          <w:lang w:val="en-US"/>
        </w:rPr>
        <w:t xml:space="preserve"> based on the results of the DESTINY-Breast04 trial. </w:t>
      </w:r>
      <w:r w:rsidR="005C516C" w:rsidRPr="005C516C">
        <w:rPr>
          <w:lang w:val="en-US"/>
        </w:rPr>
        <w:br/>
      </w:r>
    </w:p>
    <w:p w14:paraId="6EDCB2CE" w14:textId="2525379E" w:rsidR="0090131E" w:rsidRDefault="0090131E" w:rsidP="0090131E">
      <w:pPr>
        <w:pStyle w:val="NormalWeb"/>
        <w:spacing w:before="0" w:beforeAutospacing="0" w:after="0" w:afterAutospacing="0"/>
        <w:rPr>
          <w:lang w:val="en-US"/>
        </w:rPr>
      </w:pPr>
      <w:r w:rsidRPr="0090131E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Pr="0090131E">
        <w:rPr>
          <w:lang w:val="en-US"/>
        </w:rPr>
        <w:t xml:space="preserve"> is approved in more than 30 countries for the treatment of adult patients with locally advanced or metastatic HER2</w:t>
      </w:r>
      <w:r w:rsidR="0047452C">
        <w:rPr>
          <w:lang w:val="en-US"/>
        </w:rPr>
        <w:t>-</w:t>
      </w:r>
      <w:r w:rsidRPr="0090131E">
        <w:rPr>
          <w:lang w:val="en-US"/>
        </w:rPr>
        <w:t>positive gastric or GEJ adenocarcinoma who have received a prior trastuzumab-based regimen based on the results from the DESTINY-Gastric01 and/or DESTINY-Gastric02 trials.</w:t>
      </w:r>
    </w:p>
    <w:p w14:paraId="0B0E1EB0" w14:textId="77777777" w:rsidR="0090131E" w:rsidRDefault="0090131E" w:rsidP="0090131E">
      <w:pPr>
        <w:pStyle w:val="NormalWeb"/>
        <w:spacing w:before="0" w:beforeAutospacing="0" w:after="0" w:afterAutospacing="0"/>
        <w:rPr>
          <w:lang w:val="en-US"/>
        </w:rPr>
      </w:pPr>
    </w:p>
    <w:p w14:paraId="710485C1" w14:textId="0ADD0D86" w:rsidR="0090131E" w:rsidRDefault="0090131E" w:rsidP="00771F1B">
      <w:pPr>
        <w:pStyle w:val="NormalWeb"/>
        <w:spacing w:before="0" w:beforeAutospacing="0" w:after="0" w:afterAutospacing="0"/>
        <w:rPr>
          <w:lang w:val="en-US"/>
        </w:rPr>
      </w:pPr>
      <w:r w:rsidRPr="0090131E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>
        <w:rPr>
          <w:lang w:val="en-US"/>
        </w:rPr>
        <w:t xml:space="preserve"> </w:t>
      </w:r>
      <w:r w:rsidRPr="0090131E">
        <w:rPr>
          <w:lang w:val="en-US"/>
        </w:rPr>
        <w:t>is approved under accelerated approval in the U</w:t>
      </w:r>
      <w:r w:rsidR="005F1720">
        <w:rPr>
          <w:lang w:val="en-US"/>
        </w:rPr>
        <w:t>nited States</w:t>
      </w:r>
      <w:r w:rsidRPr="0090131E">
        <w:rPr>
          <w:lang w:val="en-US"/>
        </w:rPr>
        <w:t xml:space="preserve"> for the treatment of adult patients with unresectable or metastatic NSCLC whose tumors have activating </w:t>
      </w:r>
      <w:r w:rsidRPr="00502820">
        <w:rPr>
          <w:i/>
          <w:iCs/>
          <w:lang w:val="en-US"/>
        </w:rPr>
        <w:t>HER2</w:t>
      </w:r>
      <w:r w:rsidRPr="0090131E">
        <w:rPr>
          <w:lang w:val="en-US"/>
        </w:rPr>
        <w:t xml:space="preserve"> (</w:t>
      </w:r>
      <w:r w:rsidRPr="00502820">
        <w:rPr>
          <w:i/>
          <w:iCs/>
          <w:lang w:val="en-US"/>
        </w:rPr>
        <w:t>ERBB2</w:t>
      </w:r>
      <w:r w:rsidRPr="0090131E">
        <w:rPr>
          <w:lang w:val="en-US"/>
        </w:rPr>
        <w:t>) mutations, as detected by an FDA-approved test, and who have received a prior systemic therapy</w:t>
      </w:r>
      <w:r w:rsidR="00A53B82">
        <w:rPr>
          <w:lang w:val="en-US"/>
        </w:rPr>
        <w:t>,</w:t>
      </w:r>
      <w:r w:rsidRPr="0090131E">
        <w:rPr>
          <w:lang w:val="en-US"/>
        </w:rPr>
        <w:t xml:space="preserve"> based on the results from the DESTINY-Lung02 trial. Continued approval for this indication may be contingent upon verification and description of clinical benefit in a confirmatory trial.</w:t>
      </w:r>
    </w:p>
    <w:p w14:paraId="2BD8E52C" w14:textId="6F070FAA" w:rsidR="00D31B72" w:rsidRDefault="00D31B72" w:rsidP="00771F1B">
      <w:pPr>
        <w:pStyle w:val="NormalWeb"/>
        <w:spacing w:before="0" w:beforeAutospacing="0" w:after="0" w:afterAutospacing="0"/>
        <w:rPr>
          <w:lang w:val="en-US"/>
        </w:rPr>
      </w:pPr>
    </w:p>
    <w:p w14:paraId="1F0C2727" w14:textId="77777777" w:rsidR="00D31B72" w:rsidRPr="005C516C" w:rsidRDefault="00D31B72" w:rsidP="005C516C">
      <w:pPr>
        <w:pStyle w:val="NormalWeb"/>
        <w:rPr>
          <w:lang w:val="en-US"/>
        </w:rPr>
      </w:pPr>
    </w:p>
    <w:p w14:paraId="683F5DF9" w14:textId="71C96C99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Background</w:t>
      </w:r>
      <w:r w:rsidR="00432970">
        <w:rPr>
          <w:lang w:val="en-US"/>
        </w:rPr>
        <w:t xml:space="preserve"> (</w:t>
      </w:r>
      <w:r w:rsidR="00BC6848">
        <w:rPr>
          <w:lang w:val="en-US"/>
        </w:rPr>
        <w:t>29</w:t>
      </w:r>
      <w:r w:rsidR="00DB65E8">
        <w:rPr>
          <w:lang w:val="en-US"/>
        </w:rPr>
        <w:t>4</w:t>
      </w:r>
      <w:r w:rsidR="00432970">
        <w:rPr>
          <w:lang w:val="en-US"/>
        </w:rPr>
        <w:t>/300)</w:t>
      </w:r>
    </w:p>
    <w:p w14:paraId="620500C8" w14:textId="0CB07977" w:rsid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is an antibody-drug conjugate (ADC) composed of a humanized monoclonal antibody specifically targeting HER2, a cleavable linker, and a potent topoisomerase I inhibitor as the cytotoxic payload.</w:t>
      </w:r>
      <w:r w:rsidR="002D2CCA">
        <w:rPr>
          <w:lang w:val="en-US"/>
        </w:rPr>
        <w:t xml:space="preserve"> </w:t>
      </w:r>
      <w:r w:rsidRPr="005C516C">
        <w:rPr>
          <w:lang w:val="en-US"/>
        </w:rPr>
        <w:t>HER2</w:t>
      </w:r>
      <w:r w:rsidR="004447D8">
        <w:rPr>
          <w:lang w:val="en-US"/>
        </w:rPr>
        <w:t>, a key oncologic therapeutic target,</w:t>
      </w:r>
      <w:r w:rsidRPr="005C516C">
        <w:rPr>
          <w:lang w:val="en-US"/>
        </w:rPr>
        <w:t xml:space="preserve"> is aberrant (amplified, overexpressed, mutated) in multiple cancer types</w:t>
      </w:r>
      <w:r w:rsidR="004447D8">
        <w:rPr>
          <w:lang w:val="en-US"/>
        </w:rPr>
        <w:t xml:space="preserve"> and its</w:t>
      </w:r>
      <w:r w:rsidRPr="005C516C">
        <w:rPr>
          <w:lang w:val="en-US"/>
        </w:rPr>
        <w:t xml:space="preserve"> expression is associated with poorer prognosis, aggressive disease course, and increased risk of recurrence.</w:t>
      </w:r>
      <w:r w:rsidRPr="005C516C">
        <w:rPr>
          <w:lang w:val="en-US"/>
        </w:rPr>
        <w:br/>
      </w:r>
      <w:r w:rsidRPr="005C516C">
        <w:rPr>
          <w:lang w:val="en-US"/>
        </w:rPr>
        <w:br/>
        <w:t>Approximately 15</w:t>
      </w:r>
      <w:r w:rsidR="00913827">
        <w:rPr>
          <w:lang w:val="en-US"/>
        </w:rPr>
        <w:t>%-</w:t>
      </w:r>
      <w:r w:rsidRPr="005C516C">
        <w:rPr>
          <w:lang w:val="en-US"/>
        </w:rPr>
        <w:t xml:space="preserve">20% of </w:t>
      </w:r>
      <w:r w:rsidR="00B85CAE">
        <w:rPr>
          <w:lang w:val="en-US"/>
        </w:rPr>
        <w:t>BC</w:t>
      </w:r>
      <w:r w:rsidRPr="005C516C">
        <w:rPr>
          <w:lang w:val="en-US"/>
        </w:rPr>
        <w:t>s are associated with HER2 overexpression or amplification</w:t>
      </w:r>
      <w:r w:rsidR="00A855EB">
        <w:rPr>
          <w:lang w:val="en-US"/>
        </w:rPr>
        <w:t xml:space="preserve"> (traditionally defined as </w:t>
      </w:r>
      <w:r w:rsidR="001B041F">
        <w:rPr>
          <w:lang w:val="en-US"/>
        </w:rPr>
        <w:t>“</w:t>
      </w:r>
      <w:r w:rsidR="00A855EB">
        <w:rPr>
          <w:lang w:val="en-US"/>
        </w:rPr>
        <w:t>HER2-positive</w:t>
      </w:r>
      <w:r w:rsidR="001B041F">
        <w:rPr>
          <w:lang w:val="en-US"/>
        </w:rPr>
        <w:t>”</w:t>
      </w:r>
      <w:r w:rsidR="00A855EB">
        <w:rPr>
          <w:lang w:val="en-US"/>
        </w:rPr>
        <w:t>)</w:t>
      </w:r>
      <w:r w:rsidRPr="005C516C">
        <w:rPr>
          <w:lang w:val="en-US"/>
        </w:rPr>
        <w:t xml:space="preserve">, </w:t>
      </w:r>
      <w:r w:rsidR="001B041F">
        <w:rPr>
          <w:lang w:val="en-US"/>
        </w:rPr>
        <w:t>which</w:t>
      </w:r>
      <w:r w:rsidRPr="005C516C">
        <w:rPr>
          <w:lang w:val="en-US"/>
        </w:rPr>
        <w:t xml:space="preserve"> </w:t>
      </w:r>
      <w:r w:rsidR="006565D0">
        <w:rPr>
          <w:lang w:val="en-US"/>
        </w:rPr>
        <w:t xml:space="preserve">is </w:t>
      </w:r>
      <w:r w:rsidRPr="005C516C">
        <w:rPr>
          <w:lang w:val="en-US"/>
        </w:rPr>
        <w:t xml:space="preserve">associated with </w:t>
      </w:r>
      <w:r w:rsidR="006565D0">
        <w:rPr>
          <w:lang w:val="en-US"/>
        </w:rPr>
        <w:t xml:space="preserve">more </w:t>
      </w:r>
      <w:r w:rsidRPr="005C516C">
        <w:rPr>
          <w:lang w:val="en-US"/>
        </w:rPr>
        <w:t xml:space="preserve">aggressive disease. </w:t>
      </w:r>
      <w:r w:rsidR="005F1720">
        <w:rPr>
          <w:lang w:val="en-US"/>
        </w:rPr>
        <w:t>Although</w:t>
      </w:r>
      <w:r w:rsidR="005F1720" w:rsidRPr="005C516C">
        <w:rPr>
          <w:lang w:val="en-US"/>
        </w:rPr>
        <w:t xml:space="preserve"> </w:t>
      </w:r>
      <w:r w:rsidRPr="005C516C">
        <w:rPr>
          <w:lang w:val="en-US"/>
        </w:rPr>
        <w:t>e</w:t>
      </w:r>
      <w:r w:rsidR="00944763">
        <w:rPr>
          <w:lang w:val="en-US"/>
        </w:rPr>
        <w:t>xisting treatments</w:t>
      </w:r>
      <w:r w:rsidRPr="005C516C">
        <w:rPr>
          <w:lang w:val="en-US"/>
        </w:rPr>
        <w:t xml:space="preserve"> are effective for HER2</w:t>
      </w:r>
      <w:r w:rsidR="00014612">
        <w:rPr>
          <w:lang w:val="en-US"/>
        </w:rPr>
        <w:t>-positive</w:t>
      </w:r>
      <w:r w:rsidRPr="005C516C">
        <w:rPr>
          <w:lang w:val="en-US"/>
        </w:rPr>
        <w:t xml:space="preserve"> BC, most cancers develop resistance to currently available therapies and m</w:t>
      </w:r>
      <w:r w:rsidR="006E6CC9">
        <w:rPr>
          <w:lang w:val="en-US"/>
        </w:rPr>
        <w:t xml:space="preserve">etastatic </w:t>
      </w:r>
      <w:r w:rsidRPr="005C516C">
        <w:rPr>
          <w:lang w:val="en-US"/>
        </w:rPr>
        <w:t xml:space="preserve">BC </w:t>
      </w:r>
      <w:r w:rsidR="00063892">
        <w:rPr>
          <w:lang w:val="en-US"/>
        </w:rPr>
        <w:t>(</w:t>
      </w:r>
      <w:proofErr w:type="spellStart"/>
      <w:r w:rsidR="00063892">
        <w:rPr>
          <w:lang w:val="en-US"/>
        </w:rPr>
        <w:t>mBC</w:t>
      </w:r>
      <w:proofErr w:type="spellEnd"/>
      <w:r w:rsidR="00063892">
        <w:rPr>
          <w:lang w:val="en-US"/>
        </w:rPr>
        <w:t xml:space="preserve">) </w:t>
      </w:r>
      <w:r w:rsidRPr="005C516C">
        <w:rPr>
          <w:lang w:val="en-US"/>
        </w:rPr>
        <w:t>remains incurable</w:t>
      </w:r>
      <w:r w:rsidR="00944763">
        <w:rPr>
          <w:lang w:val="en-US"/>
        </w:rPr>
        <w:t>; therefore, a need for new therapies remains</w:t>
      </w:r>
      <w:r w:rsidRPr="005C516C">
        <w:rPr>
          <w:lang w:val="en-US"/>
        </w:rPr>
        <w:t xml:space="preserve">. </w:t>
      </w:r>
      <w:r w:rsidR="0092335B">
        <w:rPr>
          <w:lang w:val="en-US"/>
        </w:rPr>
        <w:t>In a</w:t>
      </w:r>
      <w:r w:rsidR="00112304">
        <w:rPr>
          <w:lang w:val="en-US"/>
        </w:rPr>
        <w:t>ddition</w:t>
      </w:r>
      <w:r w:rsidRPr="005C516C">
        <w:rPr>
          <w:lang w:val="en-US"/>
        </w:rPr>
        <w:t xml:space="preserve">, approximately 60% of traditionally HER2-negative </w:t>
      </w:r>
      <w:proofErr w:type="spellStart"/>
      <w:r w:rsidRPr="005C516C">
        <w:rPr>
          <w:lang w:val="en-US"/>
        </w:rPr>
        <w:t>m</w:t>
      </w:r>
      <w:r w:rsidR="00B85CAE">
        <w:rPr>
          <w:lang w:val="en-US"/>
        </w:rPr>
        <w:t>BC</w:t>
      </w:r>
      <w:r w:rsidRPr="005C516C">
        <w:rPr>
          <w:lang w:val="en-US"/>
        </w:rPr>
        <w:t>s</w:t>
      </w:r>
      <w:proofErr w:type="spellEnd"/>
      <w:r w:rsidRPr="005C516C">
        <w:rPr>
          <w:lang w:val="en-US"/>
        </w:rPr>
        <w:t xml:space="preserve"> express low levels of HER2 (IHC1+ or IHC2+/ISH</w:t>
      </w:r>
      <w:r w:rsidR="0092335B">
        <w:rPr>
          <w:rFonts w:ascii="Arial" w:hAnsi="Arial" w:cs="Arial"/>
          <w:lang w:val="en-US"/>
        </w:rPr>
        <w:t>−</w:t>
      </w:r>
      <w:r w:rsidRPr="005C516C">
        <w:rPr>
          <w:lang w:val="en-US"/>
        </w:rPr>
        <w:t xml:space="preserve">), a </w:t>
      </w:r>
      <w:r w:rsidR="0006052E">
        <w:rPr>
          <w:lang w:val="en-US"/>
        </w:rPr>
        <w:t xml:space="preserve">BC patient </w:t>
      </w:r>
      <w:r w:rsidRPr="005C516C">
        <w:rPr>
          <w:lang w:val="en-US"/>
        </w:rPr>
        <w:t xml:space="preserve">group newly defined as </w:t>
      </w:r>
      <w:r w:rsidR="0092335B">
        <w:rPr>
          <w:lang w:val="en-US"/>
        </w:rPr>
        <w:t>“</w:t>
      </w:r>
      <w:r w:rsidRPr="005C516C">
        <w:rPr>
          <w:lang w:val="en-US"/>
        </w:rPr>
        <w:t>HER2</w:t>
      </w:r>
      <w:r w:rsidR="00D31B72">
        <w:rPr>
          <w:lang w:val="en-US"/>
        </w:rPr>
        <w:t>-l</w:t>
      </w:r>
      <w:r w:rsidRPr="005C516C">
        <w:rPr>
          <w:lang w:val="en-US"/>
        </w:rPr>
        <w:t>ow</w:t>
      </w:r>
      <w:r w:rsidR="0092335B">
        <w:rPr>
          <w:lang w:val="en-US"/>
        </w:rPr>
        <w:t>”</w:t>
      </w:r>
      <w:r w:rsidR="00A66B11">
        <w:rPr>
          <w:lang w:val="en-US"/>
        </w:rPr>
        <w:t xml:space="preserve"> </w:t>
      </w:r>
      <w:r w:rsidR="00906EEE">
        <w:rPr>
          <w:lang w:val="en-US"/>
        </w:rPr>
        <w:t>(</w:t>
      </w:r>
      <w:r w:rsidR="00A66B11">
        <w:rPr>
          <w:lang w:val="en-US"/>
        </w:rPr>
        <w:t xml:space="preserve">following development of </w:t>
      </w:r>
      <w:r w:rsidR="00A66B11" w:rsidRPr="005C516C">
        <w:rPr>
          <w:lang w:val="en-US"/>
        </w:rPr>
        <w:t>ENHERTU</w:t>
      </w:r>
      <w:r w:rsidR="00A66B11" w:rsidRPr="00F419EA">
        <w:rPr>
          <w:vertAlign w:val="superscript"/>
          <w:lang w:val="en-US"/>
        </w:rPr>
        <w:t>®</w:t>
      </w:r>
      <w:r w:rsidR="00906EEE">
        <w:rPr>
          <w:lang w:val="en-US"/>
        </w:rPr>
        <w:t>)</w:t>
      </w:r>
      <w:r w:rsidRPr="005C516C">
        <w:rPr>
          <w:lang w:val="en-US"/>
        </w:rPr>
        <w:t xml:space="preserve">. HER2-directed therapies have </w:t>
      </w:r>
      <w:r w:rsidR="00EC1056">
        <w:rPr>
          <w:lang w:val="en-US"/>
        </w:rPr>
        <w:t xml:space="preserve">previously </w:t>
      </w:r>
      <w:r w:rsidRPr="005C516C">
        <w:rPr>
          <w:lang w:val="en-US"/>
        </w:rPr>
        <w:t xml:space="preserve">not improved clinical outcomes for patients </w:t>
      </w:r>
      <w:r w:rsidR="00685F66">
        <w:rPr>
          <w:lang w:val="en-US"/>
        </w:rPr>
        <w:t xml:space="preserve">with low HER2 expression </w:t>
      </w:r>
      <w:r w:rsidRPr="005C516C">
        <w:rPr>
          <w:lang w:val="en-US"/>
        </w:rPr>
        <w:t>(historically treated as HER2-negative disease), with limited targeted treatment options available after progressing on primary therapy.</w:t>
      </w:r>
      <w:r w:rsidRPr="005C516C">
        <w:rPr>
          <w:lang w:val="en-US"/>
        </w:rPr>
        <w:br/>
      </w:r>
      <w:r w:rsidRPr="005C516C">
        <w:rPr>
          <w:lang w:val="en-US"/>
        </w:rPr>
        <w:br/>
        <w:t>Approximately 15%-20% of advanced gastric or GEJ tumors show HER2 overexpression or amplification. Prior to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approval, trastuzumab was the only approved anti-HER2 therapy for HER2+ gastric cancer. Other HER2-targeted therapies</w:t>
      </w:r>
      <w:r w:rsidR="0017077C">
        <w:rPr>
          <w:lang w:val="en-US"/>
        </w:rPr>
        <w:t xml:space="preserve"> have</w:t>
      </w:r>
      <w:r w:rsidRPr="005C516C">
        <w:rPr>
          <w:lang w:val="en-US"/>
        </w:rPr>
        <w:t xml:space="preserve"> not significantly improve</w:t>
      </w:r>
      <w:r w:rsidR="0017077C">
        <w:rPr>
          <w:lang w:val="en-US"/>
        </w:rPr>
        <w:t>d</w:t>
      </w:r>
      <w:r w:rsidRPr="005C516C">
        <w:rPr>
          <w:lang w:val="en-US"/>
        </w:rPr>
        <w:t xml:space="preserve"> </w:t>
      </w:r>
      <w:r w:rsidR="00754F40">
        <w:rPr>
          <w:lang w:val="en-US"/>
        </w:rPr>
        <w:t>overall survival</w:t>
      </w:r>
      <w:r w:rsidR="00DB65E8">
        <w:rPr>
          <w:lang w:val="en-US"/>
        </w:rPr>
        <w:t xml:space="preserve"> (OS)</w:t>
      </w:r>
      <w:r w:rsidRPr="005C516C">
        <w:rPr>
          <w:lang w:val="en-US"/>
        </w:rPr>
        <w:t xml:space="preserve"> vs standard chemotherapy in second</w:t>
      </w:r>
      <w:r w:rsidR="00754F40">
        <w:rPr>
          <w:lang w:val="en-US"/>
        </w:rPr>
        <w:t>-</w:t>
      </w:r>
      <w:r w:rsidRPr="005C516C">
        <w:rPr>
          <w:lang w:val="en-US"/>
        </w:rPr>
        <w:t>line or later treatment of HER2+ advanced gastric or GEJ cancer.</w:t>
      </w:r>
      <w:r w:rsidRPr="005C516C">
        <w:rPr>
          <w:lang w:val="en-US"/>
        </w:rPr>
        <w:br/>
      </w:r>
      <w:r w:rsidRPr="005C516C">
        <w:rPr>
          <w:lang w:val="en-US"/>
        </w:rPr>
        <w:br/>
        <w:t>In other malignancies</w:t>
      </w:r>
      <w:r w:rsidR="00EC0D19">
        <w:rPr>
          <w:lang w:val="en-US"/>
        </w:rPr>
        <w:t>,</w:t>
      </w:r>
      <w:r w:rsidRPr="005C516C">
        <w:rPr>
          <w:lang w:val="en-US"/>
        </w:rPr>
        <w:t xml:space="preserve"> such as metastatic colorectal cancer, </w:t>
      </w:r>
      <w:r w:rsidR="00CA450F">
        <w:rPr>
          <w:lang w:val="en-US"/>
        </w:rPr>
        <w:t>for which</w:t>
      </w:r>
      <w:r w:rsidRPr="005C516C">
        <w:rPr>
          <w:lang w:val="en-US"/>
        </w:rPr>
        <w:t xml:space="preserve"> </w:t>
      </w:r>
      <w:r w:rsidR="0090740A">
        <w:rPr>
          <w:lang w:val="en-US"/>
        </w:rPr>
        <w:t>3</w:t>
      </w:r>
      <w:r w:rsidRPr="005C516C">
        <w:rPr>
          <w:lang w:val="en-US"/>
        </w:rPr>
        <w:t>% of cancers show HER2 overexpression, and NSCLC, where</w:t>
      </w:r>
      <w:r w:rsidR="00CA450F">
        <w:rPr>
          <w:lang w:val="en-US"/>
        </w:rPr>
        <w:t>in</w:t>
      </w:r>
      <w:r w:rsidRPr="005C516C">
        <w:rPr>
          <w:lang w:val="en-US"/>
        </w:rPr>
        <w:t xml:space="preserve"> 2%-4% of lung adenocarcinomas exhibit a</w:t>
      </w:r>
      <w:r w:rsidRPr="004002A9">
        <w:rPr>
          <w:i/>
          <w:iCs/>
          <w:lang w:val="en-US"/>
        </w:rPr>
        <w:t xml:space="preserve"> HER2</w:t>
      </w:r>
      <w:r w:rsidRPr="005C516C">
        <w:rPr>
          <w:lang w:val="en-US"/>
        </w:rPr>
        <w:t xml:space="preserve"> </w:t>
      </w:r>
      <w:r w:rsidRPr="00F72586">
        <w:rPr>
          <w:lang w:val="en-US"/>
        </w:rPr>
        <w:t>alteration</w:t>
      </w:r>
      <w:r w:rsidRPr="005C516C">
        <w:rPr>
          <w:lang w:val="en-US"/>
        </w:rPr>
        <w:t xml:space="preserve"> (mutation or amplification), </w:t>
      </w:r>
      <w:r w:rsidR="00CA7F98">
        <w:rPr>
          <w:lang w:val="en-US"/>
        </w:rPr>
        <w:t xml:space="preserve">and many others, </w:t>
      </w:r>
      <w:r w:rsidRPr="005C516C">
        <w:rPr>
          <w:lang w:val="en-US"/>
        </w:rPr>
        <w:t xml:space="preserve">there are </w:t>
      </w:r>
      <w:r w:rsidR="007668D8">
        <w:rPr>
          <w:lang w:val="en-US"/>
        </w:rPr>
        <w:t xml:space="preserve">limited or </w:t>
      </w:r>
      <w:r w:rsidRPr="005C516C">
        <w:rPr>
          <w:lang w:val="en-US"/>
        </w:rPr>
        <w:t xml:space="preserve">no </w:t>
      </w:r>
      <w:r w:rsidR="00FC1462">
        <w:rPr>
          <w:lang w:val="en-US"/>
        </w:rPr>
        <w:t xml:space="preserve">other </w:t>
      </w:r>
      <w:r w:rsidRPr="005C516C">
        <w:rPr>
          <w:lang w:val="en-US"/>
        </w:rPr>
        <w:t>HER2-targeted therapies approved in any line of therapy.</w:t>
      </w:r>
    </w:p>
    <w:p w14:paraId="04DDC1FA" w14:textId="474F591D" w:rsidR="00FC1462" w:rsidRPr="005C516C" w:rsidRDefault="00FC1462" w:rsidP="005C516C">
      <w:pPr>
        <w:pStyle w:val="NormalWeb"/>
        <w:rPr>
          <w:lang w:val="en-US"/>
        </w:rPr>
      </w:pPr>
      <w:r>
        <w:rPr>
          <w:lang w:val="en-US"/>
        </w:rPr>
        <w:t xml:space="preserve">Based on </w:t>
      </w:r>
      <w:r w:rsidR="00553AE7">
        <w:rPr>
          <w:lang w:val="en-US"/>
        </w:rPr>
        <w:t xml:space="preserve">proportions of </w:t>
      </w:r>
      <w:r w:rsidR="00D3093B">
        <w:rPr>
          <w:lang w:val="en-US"/>
        </w:rPr>
        <w:t xml:space="preserve">tumors with HER2 </w:t>
      </w:r>
      <w:r w:rsidR="00B95751">
        <w:rPr>
          <w:lang w:val="en-US"/>
        </w:rPr>
        <w:t>aberrations</w:t>
      </w:r>
      <w:r w:rsidR="00D3093B">
        <w:rPr>
          <w:lang w:val="en-US"/>
        </w:rPr>
        <w:t xml:space="preserve">, </w:t>
      </w:r>
      <w:r w:rsidR="00BF5079">
        <w:rPr>
          <w:lang w:val="en-US"/>
        </w:rPr>
        <w:t>a huge</w:t>
      </w:r>
      <w:r w:rsidR="00FE0356">
        <w:rPr>
          <w:lang w:val="en-US"/>
        </w:rPr>
        <w:t xml:space="preserve"> population </w:t>
      </w:r>
      <w:r w:rsidR="00BF5079">
        <w:rPr>
          <w:lang w:val="en-US"/>
        </w:rPr>
        <w:t xml:space="preserve">of patients </w:t>
      </w:r>
      <w:r w:rsidR="00F619FD">
        <w:rPr>
          <w:lang w:val="en-US"/>
        </w:rPr>
        <w:t xml:space="preserve">with cancer may </w:t>
      </w:r>
      <w:r w:rsidR="00CD1A90">
        <w:rPr>
          <w:lang w:val="en-US"/>
        </w:rPr>
        <w:t xml:space="preserve">potentially </w:t>
      </w:r>
      <w:r w:rsidR="00754F40">
        <w:rPr>
          <w:lang w:val="en-US"/>
        </w:rPr>
        <w:t xml:space="preserve">benefit </w:t>
      </w:r>
      <w:r w:rsidR="00F619FD">
        <w:rPr>
          <w:lang w:val="en-US"/>
        </w:rPr>
        <w:t xml:space="preserve">now </w:t>
      </w:r>
      <w:r w:rsidR="00CD1A90">
        <w:rPr>
          <w:lang w:val="en-US"/>
        </w:rPr>
        <w:t>or</w:t>
      </w:r>
      <w:r w:rsidR="00AD696F">
        <w:rPr>
          <w:lang w:val="en-US"/>
        </w:rPr>
        <w:t xml:space="preserve"> </w:t>
      </w:r>
      <w:r w:rsidR="00FE0356">
        <w:rPr>
          <w:lang w:val="en-US"/>
        </w:rPr>
        <w:t xml:space="preserve">in the future from </w:t>
      </w:r>
      <w:r w:rsidR="00CD1A90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="00FE0356">
        <w:rPr>
          <w:lang w:val="en-US"/>
        </w:rPr>
        <w:t xml:space="preserve"> therapy</w:t>
      </w:r>
      <w:r w:rsidR="00BF5079">
        <w:rPr>
          <w:lang w:val="en-US"/>
        </w:rPr>
        <w:t>.</w:t>
      </w:r>
      <w:r w:rsidR="00FE0356">
        <w:rPr>
          <w:lang w:val="en-US"/>
        </w:rPr>
        <w:t xml:space="preserve"> </w:t>
      </w:r>
      <w:r w:rsidR="00D3093B">
        <w:rPr>
          <w:lang w:val="en-US"/>
        </w:rPr>
        <w:t xml:space="preserve">  </w:t>
      </w:r>
      <w:r w:rsidR="00553AE7">
        <w:rPr>
          <w:lang w:val="en-US"/>
        </w:rPr>
        <w:t xml:space="preserve">  </w:t>
      </w:r>
    </w:p>
    <w:p w14:paraId="2454399F" w14:textId="77777777" w:rsidR="002F78F6" w:rsidRDefault="002F78F6" w:rsidP="005C516C">
      <w:pPr>
        <w:pStyle w:val="Heading2"/>
        <w:rPr>
          <w:lang w:val="en-US"/>
        </w:rPr>
      </w:pPr>
    </w:p>
    <w:p w14:paraId="74FBE500" w14:textId="3756FF6C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Development</w:t>
      </w:r>
      <w:r w:rsidR="00F12557">
        <w:rPr>
          <w:lang w:val="en-US"/>
        </w:rPr>
        <w:t xml:space="preserve"> (</w:t>
      </w:r>
      <w:r w:rsidR="00C62D5E">
        <w:rPr>
          <w:lang w:val="en-US"/>
        </w:rPr>
        <w:t>29</w:t>
      </w:r>
      <w:r w:rsidR="004C0367">
        <w:rPr>
          <w:lang w:val="en-US"/>
        </w:rPr>
        <w:t>8</w:t>
      </w:r>
      <w:r w:rsidR="00F12557">
        <w:rPr>
          <w:lang w:val="en-US"/>
        </w:rPr>
        <w:t>/300)</w:t>
      </w:r>
    </w:p>
    <w:p w14:paraId="349DEBD2" w14:textId="2F2C1196" w:rsidR="00D75855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 xml:space="preserve">Based on promising preclinical and phase 1 </w:t>
      </w:r>
      <w:r w:rsidR="00E93DCF">
        <w:rPr>
          <w:lang w:val="en-US"/>
        </w:rPr>
        <w:t>data</w:t>
      </w:r>
      <w:r w:rsidRPr="005C516C">
        <w:rPr>
          <w:lang w:val="en-US"/>
        </w:rPr>
        <w:t>, multiple phase 2</w:t>
      </w:r>
      <w:r w:rsidR="00F72586">
        <w:rPr>
          <w:lang w:val="en-US"/>
        </w:rPr>
        <w:t>-3</w:t>
      </w:r>
      <w:r w:rsidRPr="005C516C">
        <w:rPr>
          <w:lang w:val="en-US"/>
        </w:rPr>
        <w:t xml:space="preserve"> studies </w:t>
      </w:r>
      <w:r w:rsidR="00E92CCF">
        <w:rPr>
          <w:lang w:val="en-US"/>
        </w:rPr>
        <w:t xml:space="preserve">have </w:t>
      </w:r>
      <w:r w:rsidRPr="005C516C">
        <w:rPr>
          <w:lang w:val="en-US"/>
        </w:rPr>
        <w:t>demonstrate</w:t>
      </w:r>
      <w:r w:rsidR="00E92CCF">
        <w:rPr>
          <w:lang w:val="en-US"/>
        </w:rPr>
        <w:t>d</w:t>
      </w:r>
      <w:r w:rsidRPr="005C516C">
        <w:rPr>
          <w:lang w:val="en-US"/>
        </w:rPr>
        <w:t xml:space="preserve"> ENHERTU</w:t>
      </w:r>
      <w:r w:rsidRPr="00F419EA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’s potential across a variety of </w:t>
      </w:r>
      <w:r w:rsidR="008266A5" w:rsidRPr="005C516C">
        <w:rPr>
          <w:lang w:val="en-US"/>
        </w:rPr>
        <w:t>HER2</w:t>
      </w:r>
      <w:r w:rsidR="008266A5">
        <w:rPr>
          <w:lang w:val="en-US"/>
        </w:rPr>
        <w:t>-</w:t>
      </w:r>
      <w:r w:rsidR="008266A5" w:rsidRPr="005C516C">
        <w:rPr>
          <w:lang w:val="en-US"/>
        </w:rPr>
        <w:t xml:space="preserve">expressing or </w:t>
      </w:r>
      <w:r w:rsidR="008266A5">
        <w:rPr>
          <w:lang w:val="en-US"/>
        </w:rPr>
        <w:t>-</w:t>
      </w:r>
      <w:r w:rsidR="008266A5" w:rsidRPr="005C516C">
        <w:rPr>
          <w:lang w:val="en-US"/>
        </w:rPr>
        <w:t xml:space="preserve">mutated </w:t>
      </w:r>
      <w:r w:rsidR="00E92CCF">
        <w:rPr>
          <w:lang w:val="en-US"/>
        </w:rPr>
        <w:t>cancer types</w:t>
      </w:r>
      <w:r w:rsidRPr="005C516C">
        <w:rPr>
          <w:lang w:val="en-US"/>
        </w:rPr>
        <w:t>.</w:t>
      </w:r>
      <w:r w:rsidR="00BF0A5B">
        <w:rPr>
          <w:lang w:val="en-US"/>
        </w:rPr>
        <w:t xml:space="preserve"> </w:t>
      </w:r>
      <w:r w:rsidR="00B83A83">
        <w:rPr>
          <w:lang w:val="en-US"/>
        </w:rPr>
        <w:t xml:space="preserve">Major results from </w:t>
      </w:r>
      <w:r w:rsidR="00204602">
        <w:rPr>
          <w:lang w:val="en-US"/>
        </w:rPr>
        <w:t xml:space="preserve">registrational </w:t>
      </w:r>
      <w:r w:rsidR="00046253">
        <w:rPr>
          <w:lang w:val="en-US"/>
        </w:rPr>
        <w:t xml:space="preserve">clinical </w:t>
      </w:r>
      <w:r w:rsidR="00B83A83">
        <w:rPr>
          <w:lang w:val="en-US"/>
        </w:rPr>
        <w:t>studies are summarized below</w:t>
      </w:r>
      <w:r w:rsidR="009170DD">
        <w:rPr>
          <w:lang w:val="en-US"/>
        </w:rPr>
        <w:t>;</w:t>
      </w:r>
      <w:r w:rsidR="007E706F">
        <w:rPr>
          <w:lang w:val="en-US"/>
        </w:rPr>
        <w:t xml:space="preserve"> </w:t>
      </w:r>
      <w:r w:rsidR="00D70568">
        <w:rPr>
          <w:lang w:val="en-US"/>
        </w:rPr>
        <w:t xml:space="preserve">most </w:t>
      </w:r>
      <w:r w:rsidR="007E706F">
        <w:rPr>
          <w:lang w:val="en-US"/>
        </w:rPr>
        <w:t>disclosures to date</w:t>
      </w:r>
      <w:r w:rsidR="00A53915">
        <w:rPr>
          <w:lang w:val="en-US"/>
        </w:rPr>
        <w:t xml:space="preserve"> have been published in </w:t>
      </w:r>
      <w:r w:rsidR="00DB03AC">
        <w:rPr>
          <w:lang w:val="en-US"/>
        </w:rPr>
        <w:t>the highest tier of scientific journals</w:t>
      </w:r>
      <w:r w:rsidR="009170DD">
        <w:rPr>
          <w:lang w:val="en-US"/>
        </w:rPr>
        <w:t xml:space="preserve">, including </w:t>
      </w:r>
      <w:r w:rsidR="009170DD">
        <w:rPr>
          <w:i/>
          <w:iCs/>
          <w:lang w:val="en-US"/>
        </w:rPr>
        <w:t xml:space="preserve">NEJM </w:t>
      </w:r>
      <w:r w:rsidR="009170DD">
        <w:rPr>
          <w:lang w:val="en-US"/>
        </w:rPr>
        <w:t>(</w:t>
      </w:r>
      <w:r w:rsidR="00A42764">
        <w:rPr>
          <w:lang w:val="en-US"/>
        </w:rPr>
        <w:t>5</w:t>
      </w:r>
      <w:r w:rsidR="009170DD">
        <w:rPr>
          <w:lang w:val="en-US"/>
        </w:rPr>
        <w:t xml:space="preserve">), </w:t>
      </w:r>
      <w:r w:rsidR="009170DD">
        <w:rPr>
          <w:i/>
          <w:iCs/>
          <w:lang w:val="en-US"/>
        </w:rPr>
        <w:t xml:space="preserve">Lancet </w:t>
      </w:r>
      <w:r w:rsidR="009170DD">
        <w:rPr>
          <w:lang w:val="en-US"/>
        </w:rPr>
        <w:t>(</w:t>
      </w:r>
      <w:r w:rsidR="00A42764">
        <w:rPr>
          <w:lang w:val="en-US"/>
        </w:rPr>
        <w:t>2</w:t>
      </w:r>
      <w:r w:rsidR="009170DD">
        <w:rPr>
          <w:lang w:val="en-US"/>
        </w:rPr>
        <w:t xml:space="preserve">), and </w:t>
      </w:r>
      <w:r w:rsidR="009170DD">
        <w:rPr>
          <w:i/>
          <w:iCs/>
          <w:lang w:val="en-US"/>
        </w:rPr>
        <w:t xml:space="preserve">Lancet Oncology </w:t>
      </w:r>
      <w:r w:rsidR="009170DD">
        <w:rPr>
          <w:lang w:val="en-US"/>
        </w:rPr>
        <w:t>(</w:t>
      </w:r>
      <w:r w:rsidR="00A42764">
        <w:rPr>
          <w:lang w:val="en-US"/>
        </w:rPr>
        <w:t>3</w:t>
      </w:r>
      <w:r w:rsidR="009170DD">
        <w:rPr>
          <w:lang w:val="en-US"/>
        </w:rPr>
        <w:t>), reinforcing the practice-changing nature of the data</w:t>
      </w:r>
      <w:r w:rsidR="00B83A83">
        <w:rPr>
          <w:lang w:val="en-US"/>
        </w:rPr>
        <w:t>.</w:t>
      </w:r>
      <w:r w:rsidRPr="005C516C">
        <w:rPr>
          <w:lang w:val="en-US"/>
        </w:rPr>
        <w:br/>
      </w:r>
      <w:r w:rsidRPr="005C516C">
        <w:rPr>
          <w:lang w:val="en-US"/>
        </w:rPr>
        <w:br/>
      </w:r>
      <w:r w:rsidR="00D75855">
        <w:rPr>
          <w:lang w:val="en-US"/>
        </w:rPr>
        <w:t xml:space="preserve">Most recently, </w:t>
      </w:r>
      <w:r w:rsidR="00D75855" w:rsidRPr="005C516C">
        <w:rPr>
          <w:lang w:val="en-US"/>
        </w:rPr>
        <w:t>ENHERTU</w:t>
      </w:r>
      <w:r w:rsidR="00D75855" w:rsidRPr="00711754">
        <w:rPr>
          <w:vertAlign w:val="superscript"/>
          <w:lang w:val="en-US"/>
        </w:rPr>
        <w:t>®</w:t>
      </w:r>
      <w:r w:rsidR="00D75855" w:rsidRPr="005C516C">
        <w:rPr>
          <w:lang w:val="en-US"/>
        </w:rPr>
        <w:t xml:space="preserve"> </w:t>
      </w:r>
      <w:r w:rsidR="00D75855">
        <w:rPr>
          <w:lang w:val="en-US"/>
        </w:rPr>
        <w:t>w</w:t>
      </w:r>
      <w:r w:rsidR="00D75855" w:rsidRPr="005C516C">
        <w:rPr>
          <w:lang w:val="en-US"/>
        </w:rPr>
        <w:t xml:space="preserve">as </w:t>
      </w:r>
      <w:r w:rsidR="00D75855">
        <w:rPr>
          <w:lang w:val="en-US"/>
        </w:rPr>
        <w:t xml:space="preserve">approved </w:t>
      </w:r>
      <w:r w:rsidR="00D75855" w:rsidRPr="005C516C">
        <w:rPr>
          <w:lang w:val="en-US"/>
        </w:rPr>
        <w:t>for HER2</w:t>
      </w:r>
      <w:r w:rsidR="00D75855">
        <w:rPr>
          <w:lang w:val="en-US"/>
        </w:rPr>
        <w:t>-l</w:t>
      </w:r>
      <w:r w:rsidR="00D75855" w:rsidRPr="005C516C">
        <w:rPr>
          <w:lang w:val="en-US"/>
        </w:rPr>
        <w:t xml:space="preserve">ow </w:t>
      </w:r>
      <w:proofErr w:type="spellStart"/>
      <w:r w:rsidR="00D75855" w:rsidRPr="005C516C">
        <w:rPr>
          <w:lang w:val="en-US"/>
        </w:rPr>
        <w:t>mBC</w:t>
      </w:r>
      <w:proofErr w:type="spellEnd"/>
      <w:r w:rsidR="00D75855" w:rsidRPr="005C516C">
        <w:rPr>
          <w:lang w:val="en-US"/>
        </w:rPr>
        <w:t xml:space="preserve">, an innovative new classification of patients, based on </w:t>
      </w:r>
      <w:r w:rsidR="00D75855">
        <w:rPr>
          <w:lang w:val="en-US"/>
        </w:rPr>
        <w:t xml:space="preserve">the phase 3 </w:t>
      </w:r>
      <w:r w:rsidR="00D75855" w:rsidRPr="005C516C">
        <w:rPr>
          <w:lang w:val="en-US"/>
        </w:rPr>
        <w:t>DESTINY-Breast04</w:t>
      </w:r>
      <w:r w:rsidR="00D75855">
        <w:rPr>
          <w:lang w:val="en-US"/>
        </w:rPr>
        <w:t xml:space="preserve"> </w:t>
      </w:r>
      <w:r w:rsidR="00D75855" w:rsidRPr="005C516C">
        <w:rPr>
          <w:lang w:val="en-US"/>
        </w:rPr>
        <w:t>study</w:t>
      </w:r>
      <w:r w:rsidR="00D75855">
        <w:rPr>
          <w:lang w:val="en-US"/>
        </w:rPr>
        <w:t>.</w:t>
      </w:r>
      <w:r w:rsidR="00D75855" w:rsidRPr="005C516C">
        <w:rPr>
          <w:lang w:val="en-US"/>
        </w:rPr>
        <w:t xml:space="preserve"> ENHERTU</w:t>
      </w:r>
      <w:r w:rsidR="00D75855" w:rsidRPr="00F419EA">
        <w:rPr>
          <w:vertAlign w:val="superscript"/>
          <w:lang w:val="en-US"/>
        </w:rPr>
        <w:t>®</w:t>
      </w:r>
      <w:r w:rsidR="00D75855" w:rsidRPr="005C516C">
        <w:rPr>
          <w:lang w:val="en-US"/>
        </w:rPr>
        <w:t xml:space="preserve"> demonstrated statistically significant and clinically meaningful improvement v</w:t>
      </w:r>
      <w:r w:rsidR="00D75855">
        <w:rPr>
          <w:lang w:val="en-US"/>
        </w:rPr>
        <w:t>ersu</w:t>
      </w:r>
      <w:r w:rsidR="00D75855" w:rsidRPr="005C516C">
        <w:rPr>
          <w:lang w:val="en-US"/>
        </w:rPr>
        <w:t xml:space="preserve">s physician’s choice </w:t>
      </w:r>
      <w:r w:rsidR="00D75855">
        <w:rPr>
          <w:lang w:val="en-US"/>
        </w:rPr>
        <w:t xml:space="preserve">of chemotherapy </w:t>
      </w:r>
      <w:r w:rsidR="00D75855" w:rsidRPr="005C516C">
        <w:rPr>
          <w:lang w:val="en-US"/>
        </w:rPr>
        <w:t xml:space="preserve">in </w:t>
      </w:r>
      <w:r w:rsidR="00107968">
        <w:rPr>
          <w:lang w:val="en-US"/>
        </w:rPr>
        <w:t>progression-free survival (</w:t>
      </w:r>
      <w:r w:rsidR="00D75855" w:rsidRPr="005C516C">
        <w:rPr>
          <w:lang w:val="en-US"/>
        </w:rPr>
        <w:t>PFS</w:t>
      </w:r>
      <w:r w:rsidR="00107968">
        <w:rPr>
          <w:lang w:val="en-US"/>
        </w:rPr>
        <w:t>;</w:t>
      </w:r>
      <w:r w:rsidR="00D75855" w:rsidRPr="005C516C">
        <w:rPr>
          <w:lang w:val="en-US"/>
        </w:rPr>
        <w:t xml:space="preserve"> HR: 0.5</w:t>
      </w:r>
      <w:r w:rsidR="00D75855">
        <w:rPr>
          <w:lang w:val="en-US"/>
        </w:rPr>
        <w:t>1</w:t>
      </w:r>
      <w:r w:rsidR="00D75855" w:rsidRPr="005C516C">
        <w:rPr>
          <w:lang w:val="en-US"/>
        </w:rPr>
        <w:t>) and OS (</w:t>
      </w:r>
      <w:r w:rsidR="00D75855">
        <w:rPr>
          <w:lang w:val="en-US"/>
        </w:rPr>
        <w:t>HR</w:t>
      </w:r>
      <w:r w:rsidR="00D75855" w:rsidRPr="005C516C">
        <w:rPr>
          <w:lang w:val="en-US"/>
        </w:rPr>
        <w:t>: 0.64)</w:t>
      </w:r>
      <w:r w:rsidR="00040C94">
        <w:rPr>
          <w:lang w:val="en-US"/>
        </w:rPr>
        <w:t xml:space="preserve">, </w:t>
      </w:r>
      <w:r w:rsidR="00EF557F">
        <w:rPr>
          <w:lang w:val="en-US"/>
        </w:rPr>
        <w:t xml:space="preserve">prompting </w:t>
      </w:r>
      <w:r w:rsidR="00040C94">
        <w:rPr>
          <w:lang w:val="en-US"/>
        </w:rPr>
        <w:t>a</w:t>
      </w:r>
      <w:r w:rsidR="00B450D8">
        <w:rPr>
          <w:lang w:val="en-US"/>
        </w:rPr>
        <w:t>n exceptionally rare</w:t>
      </w:r>
      <w:r w:rsidR="00040C94">
        <w:rPr>
          <w:lang w:val="en-US"/>
        </w:rPr>
        <w:t xml:space="preserve"> standing ovation </w:t>
      </w:r>
      <w:r w:rsidR="00EF557F">
        <w:rPr>
          <w:lang w:val="en-US"/>
        </w:rPr>
        <w:t xml:space="preserve">upon disclosure </w:t>
      </w:r>
      <w:r w:rsidR="0087770F">
        <w:rPr>
          <w:lang w:val="en-US"/>
        </w:rPr>
        <w:t xml:space="preserve">of this seminal data </w:t>
      </w:r>
      <w:r w:rsidR="00B450D8">
        <w:rPr>
          <w:lang w:val="en-US"/>
        </w:rPr>
        <w:t xml:space="preserve">during the Plenary Session </w:t>
      </w:r>
      <w:r w:rsidR="00040C94">
        <w:rPr>
          <w:lang w:val="en-US"/>
        </w:rPr>
        <w:t>at ASCO 2022</w:t>
      </w:r>
      <w:r w:rsidR="00D75855" w:rsidRPr="005C516C">
        <w:rPr>
          <w:lang w:val="en-US"/>
        </w:rPr>
        <w:t>. ENHERTU</w:t>
      </w:r>
      <w:r w:rsidR="00D75855" w:rsidRPr="00F419EA">
        <w:rPr>
          <w:vertAlign w:val="superscript"/>
          <w:lang w:val="en-US"/>
        </w:rPr>
        <w:t>®</w:t>
      </w:r>
      <w:r w:rsidR="00D75855" w:rsidRPr="005C516C">
        <w:rPr>
          <w:lang w:val="en-US"/>
        </w:rPr>
        <w:t xml:space="preserve"> </w:t>
      </w:r>
      <w:r w:rsidR="00D75855">
        <w:rPr>
          <w:lang w:val="en-US"/>
        </w:rPr>
        <w:t>is</w:t>
      </w:r>
      <w:r w:rsidR="00D75855" w:rsidRPr="005C516C">
        <w:rPr>
          <w:lang w:val="en-US"/>
        </w:rPr>
        <w:t xml:space="preserve"> the first HER2-directed therapy </w:t>
      </w:r>
      <w:r w:rsidR="00D75855">
        <w:rPr>
          <w:lang w:val="en-US"/>
        </w:rPr>
        <w:t>with</w:t>
      </w:r>
      <w:r w:rsidR="00D75855" w:rsidRPr="005C516C">
        <w:rPr>
          <w:lang w:val="en-US"/>
        </w:rPr>
        <w:t xml:space="preserve"> survival benefit in </w:t>
      </w:r>
      <w:r w:rsidR="00D75855">
        <w:rPr>
          <w:lang w:val="en-US"/>
        </w:rPr>
        <w:t xml:space="preserve">these </w:t>
      </w:r>
      <w:r w:rsidR="00D75855" w:rsidRPr="005C516C">
        <w:rPr>
          <w:lang w:val="en-US"/>
        </w:rPr>
        <w:t>patients</w:t>
      </w:r>
      <w:r w:rsidR="00D75855">
        <w:rPr>
          <w:lang w:val="en-US"/>
        </w:rPr>
        <w:t>, representing</w:t>
      </w:r>
      <w:r w:rsidR="00D75855" w:rsidRPr="005C516C">
        <w:rPr>
          <w:lang w:val="en-US"/>
        </w:rPr>
        <w:t xml:space="preserve"> </w:t>
      </w:r>
      <w:r w:rsidR="00144455">
        <w:rPr>
          <w:lang w:val="en-US"/>
        </w:rPr>
        <w:t>ground-breaking</w:t>
      </w:r>
      <w:r w:rsidR="001C4045">
        <w:rPr>
          <w:lang w:val="en-US"/>
        </w:rPr>
        <w:t xml:space="preserve"> progress for </w:t>
      </w:r>
      <w:r w:rsidR="00D75855">
        <w:rPr>
          <w:lang w:val="en-US"/>
        </w:rPr>
        <w:t>more than</w:t>
      </w:r>
      <w:r w:rsidR="00D75855" w:rsidRPr="005C516C">
        <w:rPr>
          <w:lang w:val="en-US"/>
        </w:rPr>
        <w:t xml:space="preserve"> half of </w:t>
      </w:r>
      <w:r w:rsidR="001C4045">
        <w:rPr>
          <w:lang w:val="en-US"/>
        </w:rPr>
        <w:t xml:space="preserve">the </w:t>
      </w:r>
      <w:proofErr w:type="spellStart"/>
      <w:r w:rsidR="00D75855" w:rsidRPr="005C516C">
        <w:rPr>
          <w:lang w:val="en-US"/>
        </w:rPr>
        <w:t>mBC</w:t>
      </w:r>
      <w:proofErr w:type="spellEnd"/>
      <w:r w:rsidR="00D75855" w:rsidRPr="005C516C">
        <w:rPr>
          <w:lang w:val="en-US"/>
        </w:rPr>
        <w:t xml:space="preserve"> patient</w:t>
      </w:r>
      <w:r w:rsidR="001C4045">
        <w:rPr>
          <w:lang w:val="en-US"/>
        </w:rPr>
        <w:t xml:space="preserve"> population</w:t>
      </w:r>
      <w:r w:rsidR="00D75855" w:rsidRPr="005C516C">
        <w:rPr>
          <w:lang w:val="en-US"/>
        </w:rPr>
        <w:t xml:space="preserve">. </w:t>
      </w:r>
    </w:p>
    <w:p w14:paraId="7E8D23DD" w14:textId="2CDA393A" w:rsidR="005C516C" w:rsidRPr="005C516C" w:rsidRDefault="005C516C" w:rsidP="005C516C">
      <w:pPr>
        <w:pStyle w:val="NormalWeb"/>
        <w:rPr>
          <w:lang w:val="en-US"/>
        </w:rPr>
      </w:pPr>
      <w:r w:rsidRPr="005C516C">
        <w:rPr>
          <w:lang w:val="en-US"/>
        </w:rPr>
        <w:t xml:space="preserve">DESTINY-Breast03, </w:t>
      </w:r>
      <w:r w:rsidR="00F72586">
        <w:rPr>
          <w:lang w:val="en-US"/>
        </w:rPr>
        <w:t>a</w:t>
      </w:r>
      <w:r w:rsidRPr="005C516C">
        <w:rPr>
          <w:lang w:val="en-US"/>
        </w:rPr>
        <w:t xml:space="preserve"> randomized phase 3 study</w:t>
      </w:r>
      <w:r w:rsidR="00BC6848">
        <w:rPr>
          <w:lang w:val="en-US"/>
        </w:rPr>
        <w:t>,</w:t>
      </w:r>
      <w:r w:rsidRPr="005C516C">
        <w:rPr>
          <w:lang w:val="en-US"/>
        </w:rPr>
        <w:t xml:space="preserve"> demonstrated superiority</w:t>
      </w:r>
      <w:r w:rsidR="0072740E" w:rsidRPr="0072740E">
        <w:rPr>
          <w:lang w:val="en-US"/>
        </w:rPr>
        <w:t xml:space="preserve"> </w:t>
      </w:r>
      <w:r w:rsidR="0072740E" w:rsidRPr="005C516C">
        <w:rPr>
          <w:lang w:val="en-US"/>
        </w:rPr>
        <w:t>of ENHERTU</w:t>
      </w:r>
      <w:r w:rsidR="0072740E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over </w:t>
      </w:r>
      <w:r w:rsidR="001E73C3">
        <w:rPr>
          <w:lang w:val="en-US"/>
        </w:rPr>
        <w:t xml:space="preserve">the HER2-targeted ADC </w:t>
      </w:r>
      <w:r w:rsidR="006371AE">
        <w:rPr>
          <w:lang w:val="en-US"/>
        </w:rPr>
        <w:t>ado-</w:t>
      </w:r>
      <w:r w:rsidR="00DA561F">
        <w:rPr>
          <w:lang w:val="en-US"/>
        </w:rPr>
        <w:t>trastuzumab emtansine (</w:t>
      </w:r>
      <w:r w:rsidRPr="005C516C">
        <w:rPr>
          <w:lang w:val="en-US"/>
        </w:rPr>
        <w:t>T-DM1</w:t>
      </w:r>
      <w:r w:rsidR="006371AE">
        <w:rPr>
          <w:lang w:val="en-US"/>
        </w:rPr>
        <w:t>; KADCYLA</w:t>
      </w:r>
      <w:r w:rsidR="00913827" w:rsidRPr="00711754">
        <w:rPr>
          <w:vertAlign w:val="superscript"/>
          <w:lang w:val="en-US"/>
        </w:rPr>
        <w:t>®</w:t>
      </w:r>
      <w:r w:rsidR="00DA561F">
        <w:rPr>
          <w:lang w:val="en-US"/>
        </w:rPr>
        <w:t>)</w:t>
      </w:r>
      <w:r w:rsidRPr="005C516C">
        <w:rPr>
          <w:lang w:val="en-US"/>
        </w:rPr>
        <w:t xml:space="preserve"> in patients with HER2+ </w:t>
      </w:r>
      <w:proofErr w:type="spellStart"/>
      <w:r w:rsidRPr="005C516C">
        <w:rPr>
          <w:lang w:val="en-US"/>
        </w:rPr>
        <w:t>mBC</w:t>
      </w:r>
      <w:proofErr w:type="spellEnd"/>
      <w:r w:rsidRPr="005C516C">
        <w:rPr>
          <w:lang w:val="en-US"/>
        </w:rPr>
        <w:t xml:space="preserve"> previously treated with trastuzumab and </w:t>
      </w:r>
      <w:proofErr w:type="spellStart"/>
      <w:r w:rsidRPr="005C516C">
        <w:rPr>
          <w:lang w:val="en-US"/>
        </w:rPr>
        <w:t>taxane</w:t>
      </w:r>
      <w:proofErr w:type="spellEnd"/>
      <w:r w:rsidRPr="005C516C">
        <w:rPr>
          <w:lang w:val="en-US"/>
        </w:rPr>
        <w:t>.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demonstrated a highly statistically significant improvement in PFS </w:t>
      </w:r>
      <w:r w:rsidR="00F72586">
        <w:rPr>
          <w:lang w:val="en-US"/>
        </w:rPr>
        <w:t xml:space="preserve">versus </w:t>
      </w:r>
      <w:r w:rsidRPr="005C516C">
        <w:rPr>
          <w:lang w:val="en-US"/>
        </w:rPr>
        <w:t>T-DM1 (HR: 0.</w:t>
      </w:r>
      <w:r w:rsidR="005970F3">
        <w:rPr>
          <w:lang w:val="en-US"/>
        </w:rPr>
        <w:t>33</w:t>
      </w:r>
      <w:r w:rsidRPr="005C516C">
        <w:rPr>
          <w:lang w:val="en-US"/>
        </w:rPr>
        <w:t>)</w:t>
      </w:r>
      <w:r w:rsidR="001719E0">
        <w:rPr>
          <w:lang w:val="en-US"/>
        </w:rPr>
        <w:t>;</w:t>
      </w:r>
      <w:r w:rsidRPr="005C516C">
        <w:rPr>
          <w:lang w:val="en-US"/>
        </w:rPr>
        <w:t xml:space="preserve"> 79% of patients demonstrated a response</w:t>
      </w:r>
      <w:r w:rsidR="00F72586">
        <w:rPr>
          <w:lang w:val="en-US"/>
        </w:rPr>
        <w:t xml:space="preserve"> vs 35% for T-DM1</w:t>
      </w:r>
      <w:r w:rsidRPr="005C516C">
        <w:rPr>
          <w:lang w:val="en-US"/>
        </w:rPr>
        <w:t>. The</w:t>
      </w:r>
      <w:r w:rsidR="00A85109">
        <w:rPr>
          <w:lang w:val="en-US"/>
        </w:rPr>
        <w:t>se</w:t>
      </w:r>
      <w:r w:rsidRPr="005C516C">
        <w:rPr>
          <w:lang w:val="en-US"/>
        </w:rPr>
        <w:t xml:space="preserve"> </w:t>
      </w:r>
      <w:r w:rsidR="00A85109">
        <w:rPr>
          <w:lang w:val="en-US"/>
        </w:rPr>
        <w:t>results</w:t>
      </w:r>
      <w:r w:rsidRPr="005C516C">
        <w:rPr>
          <w:lang w:val="en-US"/>
        </w:rPr>
        <w:t xml:space="preserve"> supported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becoming the standard of care in </w:t>
      </w:r>
      <w:r w:rsidR="00974D95">
        <w:rPr>
          <w:lang w:val="en-US"/>
        </w:rPr>
        <w:t>second-line or later</w:t>
      </w:r>
      <w:r w:rsidRPr="005C516C">
        <w:rPr>
          <w:lang w:val="en-US"/>
        </w:rPr>
        <w:t xml:space="preserve"> HER2+ </w:t>
      </w:r>
      <w:proofErr w:type="spellStart"/>
      <w:r w:rsidRPr="005C516C">
        <w:rPr>
          <w:lang w:val="en-US"/>
        </w:rPr>
        <w:t>mBC</w:t>
      </w:r>
      <w:proofErr w:type="spellEnd"/>
      <w:r w:rsidRPr="005C516C">
        <w:rPr>
          <w:lang w:val="en-US"/>
        </w:rPr>
        <w:t xml:space="preserve"> and approv</w:t>
      </w:r>
      <w:r w:rsidR="009F36BC">
        <w:rPr>
          <w:lang w:val="en-US"/>
        </w:rPr>
        <w:t>ed</w:t>
      </w:r>
      <w:r w:rsidR="00AD0135">
        <w:rPr>
          <w:lang w:val="en-US"/>
        </w:rPr>
        <w:t xml:space="preserve"> in </w:t>
      </w:r>
      <w:r w:rsidR="009F36BC">
        <w:rPr>
          <w:lang w:val="en-US"/>
        </w:rPr>
        <w:t xml:space="preserve">numerous </w:t>
      </w:r>
      <w:r w:rsidR="00AD0135">
        <w:rPr>
          <w:lang w:val="en-US"/>
        </w:rPr>
        <w:t>countries</w:t>
      </w:r>
      <w:r w:rsidRPr="005C516C">
        <w:rPr>
          <w:lang w:val="en-US"/>
        </w:rPr>
        <w:t>.</w:t>
      </w:r>
      <w:r w:rsidRPr="005C516C">
        <w:rPr>
          <w:lang w:val="en-US"/>
        </w:rPr>
        <w:br/>
      </w:r>
      <w:r w:rsidRPr="005C516C">
        <w:rPr>
          <w:lang w:val="en-US"/>
        </w:rPr>
        <w:br/>
      </w:r>
      <w:r w:rsidR="0073565F">
        <w:rPr>
          <w:lang w:val="en-US"/>
        </w:rPr>
        <w:t xml:space="preserve">In </w:t>
      </w:r>
      <w:r w:rsidRPr="005C516C">
        <w:rPr>
          <w:lang w:val="en-US"/>
        </w:rPr>
        <w:t xml:space="preserve">DESTINY-Lung01 </w:t>
      </w:r>
      <w:r w:rsidR="00BC6848">
        <w:rPr>
          <w:lang w:val="en-US"/>
        </w:rPr>
        <w:t xml:space="preserve">and DESTINY-Lung02, </w:t>
      </w:r>
      <w:r w:rsidRPr="005C516C">
        <w:rPr>
          <w:lang w:val="en-US"/>
        </w:rPr>
        <w:t>pivotal phase 2 stud</w:t>
      </w:r>
      <w:r w:rsidR="00BC6848">
        <w:rPr>
          <w:lang w:val="en-US"/>
        </w:rPr>
        <w:t>ies</w:t>
      </w:r>
      <w:r w:rsidRPr="005C516C">
        <w:rPr>
          <w:lang w:val="en-US"/>
        </w:rPr>
        <w:t xml:space="preserve"> of ENHERTU</w:t>
      </w:r>
      <w:r w:rsidRPr="00F419EA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in previously treated patients with </w:t>
      </w:r>
      <w:r w:rsidRPr="00851C17">
        <w:rPr>
          <w:i/>
          <w:iCs/>
          <w:lang w:val="en-US"/>
        </w:rPr>
        <w:t>HER2</w:t>
      </w:r>
      <w:r w:rsidR="00B026D7">
        <w:rPr>
          <w:lang w:val="en-US"/>
        </w:rPr>
        <w:t>-</w:t>
      </w:r>
      <w:r w:rsidRPr="005C516C">
        <w:rPr>
          <w:lang w:val="en-US"/>
        </w:rPr>
        <w:t>mutant NSCLC, 5</w:t>
      </w:r>
      <w:r w:rsidR="0090740A">
        <w:rPr>
          <w:lang w:val="en-US"/>
        </w:rPr>
        <w:t>5%</w:t>
      </w:r>
      <w:r w:rsidR="00414DBF">
        <w:rPr>
          <w:lang w:val="en-US"/>
        </w:rPr>
        <w:t xml:space="preserve"> </w:t>
      </w:r>
      <w:r w:rsidR="0090740A">
        <w:rPr>
          <w:lang w:val="en-US"/>
        </w:rPr>
        <w:t>and 5</w:t>
      </w:r>
      <w:r w:rsidRPr="005C516C">
        <w:rPr>
          <w:lang w:val="en-US"/>
        </w:rPr>
        <w:t>4% of patients treated with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demonstrated a response</w:t>
      </w:r>
      <w:r w:rsidR="003B2AE1">
        <w:rPr>
          <w:lang w:val="en-US"/>
        </w:rPr>
        <w:t>,</w:t>
      </w:r>
      <w:r w:rsidR="00F22FBF">
        <w:rPr>
          <w:lang w:val="en-US"/>
        </w:rPr>
        <w:t xml:space="preserve"> with</w:t>
      </w:r>
      <w:r w:rsidRPr="005C516C">
        <w:rPr>
          <w:lang w:val="en-US"/>
        </w:rPr>
        <w:t xml:space="preserve"> </w:t>
      </w:r>
      <w:r w:rsidR="00414DBF">
        <w:rPr>
          <w:lang w:val="en-US"/>
        </w:rPr>
        <w:t xml:space="preserve">disease control </w:t>
      </w:r>
      <w:r w:rsidR="00F22FBF">
        <w:rPr>
          <w:lang w:val="en-US"/>
        </w:rPr>
        <w:t>in</w:t>
      </w:r>
      <w:r w:rsidRPr="005C516C">
        <w:rPr>
          <w:lang w:val="en-US"/>
        </w:rPr>
        <w:t xml:space="preserve"> 92.3%</w:t>
      </w:r>
      <w:r w:rsidR="00BC6848">
        <w:rPr>
          <w:lang w:val="en-US"/>
        </w:rPr>
        <w:t xml:space="preserve"> and 90.4%</w:t>
      </w:r>
      <w:r w:rsidRPr="005C516C">
        <w:rPr>
          <w:lang w:val="en-US"/>
        </w:rPr>
        <w:t>.</w:t>
      </w:r>
      <w:r w:rsidR="00F72586">
        <w:rPr>
          <w:lang w:val="en-US"/>
        </w:rPr>
        <w:t xml:space="preserve"> </w:t>
      </w:r>
      <w:r w:rsidR="00BC6848">
        <w:rPr>
          <w:lang w:val="en-US"/>
        </w:rPr>
        <w:t xml:space="preserve">Based on these results, </w:t>
      </w:r>
      <w:r w:rsidRPr="005C516C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</w:t>
      </w:r>
      <w:r w:rsidR="00BC6848">
        <w:rPr>
          <w:lang w:val="en-US"/>
        </w:rPr>
        <w:t>received accelerated</w:t>
      </w:r>
      <w:r w:rsidR="00A523C4">
        <w:rPr>
          <w:lang w:val="en-US"/>
        </w:rPr>
        <w:t xml:space="preserve"> approv</w:t>
      </w:r>
      <w:r w:rsidR="00BC6848">
        <w:rPr>
          <w:lang w:val="en-US"/>
        </w:rPr>
        <w:t>al</w:t>
      </w:r>
      <w:r w:rsidR="00A523C4">
        <w:rPr>
          <w:lang w:val="en-US"/>
        </w:rPr>
        <w:t xml:space="preserve"> </w:t>
      </w:r>
      <w:r w:rsidR="00A523C4" w:rsidRPr="005C516C">
        <w:rPr>
          <w:lang w:val="en-US"/>
        </w:rPr>
        <w:t xml:space="preserve">for the treatment of patients with </w:t>
      </w:r>
      <w:r w:rsidR="00A523C4" w:rsidRPr="00EC5359">
        <w:rPr>
          <w:i/>
          <w:iCs/>
          <w:lang w:val="en-US"/>
        </w:rPr>
        <w:t>HER2</w:t>
      </w:r>
      <w:r w:rsidR="00A523C4">
        <w:rPr>
          <w:lang w:val="en-US"/>
        </w:rPr>
        <w:t>-</w:t>
      </w:r>
      <w:r w:rsidR="00A523C4" w:rsidRPr="005C516C">
        <w:rPr>
          <w:lang w:val="en-US"/>
        </w:rPr>
        <w:t>mutant NSCLC</w:t>
      </w:r>
      <w:r w:rsidR="00BC6848">
        <w:rPr>
          <w:lang w:val="en-US"/>
        </w:rPr>
        <w:t xml:space="preserve"> (USA)</w:t>
      </w:r>
      <w:r w:rsidR="00283DB2">
        <w:rPr>
          <w:lang w:val="en-US"/>
        </w:rPr>
        <w:t>.</w:t>
      </w:r>
      <w:r w:rsidRPr="005C516C">
        <w:rPr>
          <w:lang w:val="en-US"/>
        </w:rPr>
        <w:br/>
      </w:r>
      <w:r w:rsidRPr="005C516C">
        <w:rPr>
          <w:lang w:val="en-US"/>
        </w:rPr>
        <w:br/>
        <w:t xml:space="preserve">The development program, a global collaboration between Daiichi Sankyo and AstraZeneca, continues across </w:t>
      </w:r>
      <w:r w:rsidR="00403D59">
        <w:rPr>
          <w:lang w:val="en-US"/>
        </w:rPr>
        <w:t xml:space="preserve">many </w:t>
      </w:r>
      <w:r w:rsidR="00D116D9">
        <w:rPr>
          <w:lang w:val="en-US"/>
        </w:rPr>
        <w:t>other</w:t>
      </w:r>
      <w:r w:rsidR="00CE3DC8">
        <w:rPr>
          <w:lang w:val="en-US"/>
        </w:rPr>
        <w:t xml:space="preserve"> </w:t>
      </w:r>
      <w:r w:rsidRPr="005C516C">
        <w:rPr>
          <w:lang w:val="en-US"/>
        </w:rPr>
        <w:t>HER2-targetable cancers</w:t>
      </w:r>
      <w:r w:rsidR="00EF557F">
        <w:rPr>
          <w:lang w:val="en-US"/>
        </w:rPr>
        <w:t xml:space="preserve"> (</w:t>
      </w:r>
      <w:r w:rsidR="001542A2">
        <w:rPr>
          <w:lang w:val="en-US"/>
        </w:rPr>
        <w:t>see next section</w:t>
      </w:r>
      <w:r w:rsidR="00C62D5E">
        <w:rPr>
          <w:lang w:val="en-US"/>
        </w:rPr>
        <w:t xml:space="preserve"> for additional details</w:t>
      </w:r>
      <w:r w:rsidR="001542A2">
        <w:rPr>
          <w:lang w:val="en-US"/>
        </w:rPr>
        <w:t>)</w:t>
      </w:r>
      <w:r w:rsidRPr="005C516C">
        <w:rPr>
          <w:lang w:val="en-US"/>
        </w:rPr>
        <w:t>.</w:t>
      </w:r>
    </w:p>
    <w:p w14:paraId="695DAA4A" w14:textId="77777777" w:rsidR="002F78F6" w:rsidRDefault="002F78F6" w:rsidP="005C516C">
      <w:pPr>
        <w:pStyle w:val="Heading2"/>
        <w:rPr>
          <w:lang w:val="en-US"/>
        </w:rPr>
      </w:pPr>
    </w:p>
    <w:p w14:paraId="07A5C0A9" w14:textId="6EAC1989" w:rsidR="005C516C" w:rsidRPr="005C516C" w:rsidRDefault="005C516C" w:rsidP="005C516C">
      <w:pPr>
        <w:pStyle w:val="Heading2"/>
        <w:rPr>
          <w:lang w:val="en-US"/>
        </w:rPr>
      </w:pPr>
      <w:r w:rsidRPr="005C516C">
        <w:rPr>
          <w:lang w:val="en-US"/>
        </w:rPr>
        <w:t>Innovation</w:t>
      </w:r>
      <w:r w:rsidR="003310CE">
        <w:rPr>
          <w:lang w:val="en-US"/>
        </w:rPr>
        <w:t xml:space="preserve"> (2</w:t>
      </w:r>
      <w:r w:rsidR="002F78F6">
        <w:rPr>
          <w:lang w:val="en-US"/>
        </w:rPr>
        <w:t>8</w:t>
      </w:r>
      <w:r w:rsidR="009A45B5">
        <w:rPr>
          <w:lang w:val="en-US"/>
        </w:rPr>
        <w:t>8</w:t>
      </w:r>
      <w:r w:rsidR="003310CE">
        <w:rPr>
          <w:lang w:val="en-US"/>
        </w:rPr>
        <w:t>/300)</w:t>
      </w:r>
    </w:p>
    <w:p w14:paraId="45EBB2C0" w14:textId="35A5EFA7" w:rsidR="00484736" w:rsidRDefault="005C516C" w:rsidP="00851C17">
      <w:pPr>
        <w:pStyle w:val="NormalWeb"/>
        <w:spacing w:before="0" w:beforeAutospacing="0" w:after="0" w:afterAutospacing="0"/>
        <w:rPr>
          <w:lang w:val="en-US"/>
        </w:rPr>
      </w:pPr>
      <w:r w:rsidRPr="005C516C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was designed and engineered with </w:t>
      </w:r>
      <w:r w:rsidR="00D116D9">
        <w:rPr>
          <w:lang w:val="en-US"/>
        </w:rPr>
        <w:t>7</w:t>
      </w:r>
      <w:r w:rsidRPr="005C516C">
        <w:rPr>
          <w:lang w:val="en-US"/>
        </w:rPr>
        <w:t xml:space="preserve"> key attributes using </w:t>
      </w:r>
      <w:r w:rsidR="00815DB0">
        <w:rPr>
          <w:lang w:val="en-US"/>
        </w:rPr>
        <w:t>a</w:t>
      </w:r>
      <w:r w:rsidR="00815DB0" w:rsidRPr="005C516C">
        <w:rPr>
          <w:lang w:val="en-US"/>
        </w:rPr>
        <w:t xml:space="preserve"> </w:t>
      </w:r>
      <w:r w:rsidRPr="005C516C">
        <w:rPr>
          <w:lang w:val="en-US"/>
        </w:rPr>
        <w:t xml:space="preserve">novel payload-linker technology to address limitations of </w:t>
      </w:r>
      <w:r w:rsidR="00B033C0">
        <w:rPr>
          <w:lang w:val="en-US"/>
        </w:rPr>
        <w:t xml:space="preserve">previous </w:t>
      </w:r>
      <w:r w:rsidRPr="005C516C">
        <w:rPr>
          <w:lang w:val="en-US"/>
        </w:rPr>
        <w:t>compounds.</w:t>
      </w:r>
      <w:r w:rsidR="00D43650">
        <w:rPr>
          <w:lang w:val="en-US"/>
        </w:rPr>
        <w:t xml:space="preserve"> </w:t>
      </w:r>
      <w:r w:rsidRPr="005C516C">
        <w:rPr>
          <w:lang w:val="en-US"/>
        </w:rPr>
        <w:t>The innovative payload-linker of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allows for a high drug-to-antibody ratio while retaining a favorable pharmacokinetic profile.</w:t>
      </w:r>
      <w:r w:rsidR="002A68AD">
        <w:rPr>
          <w:lang w:val="en-US"/>
        </w:rPr>
        <w:t xml:space="preserve"> </w:t>
      </w:r>
      <w:r w:rsidRPr="005C516C">
        <w:rPr>
          <w:lang w:val="en-US"/>
        </w:rPr>
        <w:t xml:space="preserve">The payload-linker is stable in plasma and </w:t>
      </w:r>
      <w:r w:rsidR="00D0727B">
        <w:rPr>
          <w:lang w:val="en-US"/>
        </w:rPr>
        <w:t>is</w:t>
      </w:r>
      <w:r w:rsidRPr="005C516C">
        <w:rPr>
          <w:lang w:val="en-US"/>
        </w:rPr>
        <w:t xml:space="preserve"> cleaved by lysosomal enzymes upregulated in tumors, preferentially releasing the payload in cancer cells. The released payload has a short half-life</w:t>
      </w:r>
      <w:r w:rsidR="00D0727B">
        <w:rPr>
          <w:lang w:val="en-US"/>
        </w:rPr>
        <w:t xml:space="preserve">, minimizing </w:t>
      </w:r>
      <w:r w:rsidRPr="005C516C">
        <w:rPr>
          <w:lang w:val="en-US"/>
        </w:rPr>
        <w:t>systemic exposure</w:t>
      </w:r>
      <w:r w:rsidR="00D0727B">
        <w:rPr>
          <w:lang w:val="en-US"/>
        </w:rPr>
        <w:t xml:space="preserve">, and </w:t>
      </w:r>
      <w:r w:rsidRPr="005C516C">
        <w:rPr>
          <w:lang w:val="en-US"/>
        </w:rPr>
        <w:t>easily crosses the cell membrane, potentially allowing for potent cytotoxic effect</w:t>
      </w:r>
      <w:r w:rsidR="00B033C0">
        <w:rPr>
          <w:lang w:val="en-US"/>
        </w:rPr>
        <w:t>s</w:t>
      </w:r>
      <w:r w:rsidRPr="005C516C">
        <w:rPr>
          <w:lang w:val="en-US"/>
        </w:rPr>
        <w:t xml:space="preserve"> on neighboring tumor cells </w:t>
      </w:r>
      <w:r w:rsidRPr="005C516C">
        <w:rPr>
          <w:lang w:val="en-US"/>
        </w:rPr>
        <w:lastRenderedPageBreak/>
        <w:t xml:space="preserve">regardless of HER2 expression. </w:t>
      </w:r>
      <w:r w:rsidRPr="005C516C">
        <w:rPr>
          <w:lang w:val="en-US"/>
        </w:rPr>
        <w:br/>
      </w:r>
      <w:r w:rsidRPr="005C516C">
        <w:rPr>
          <w:lang w:val="en-US"/>
        </w:rPr>
        <w:br/>
        <w:t>Aside from the established efficacy across HER2+ cancers in the approved indications, ENHERTU</w:t>
      </w:r>
      <w:r w:rsidR="00913827" w:rsidRPr="00711754">
        <w:rPr>
          <w:vertAlign w:val="superscript"/>
          <w:lang w:val="en-US"/>
        </w:rPr>
        <w:t>®</w:t>
      </w:r>
      <w:r w:rsidRPr="005C516C">
        <w:rPr>
          <w:lang w:val="en-US"/>
        </w:rPr>
        <w:t xml:space="preserve"> </w:t>
      </w:r>
      <w:r w:rsidR="00E12B35">
        <w:rPr>
          <w:lang w:val="en-US"/>
        </w:rPr>
        <w:t>is the first HER2-targeted agent to</w:t>
      </w:r>
      <w:r w:rsidR="00E12B35" w:rsidRPr="005C516C">
        <w:rPr>
          <w:lang w:val="en-US"/>
        </w:rPr>
        <w:t xml:space="preserve"> </w:t>
      </w:r>
      <w:r w:rsidRPr="005C516C">
        <w:rPr>
          <w:lang w:val="en-US"/>
        </w:rPr>
        <w:t>demonstrate efficacy in BC patients with low HER2 expression</w:t>
      </w:r>
      <w:r w:rsidR="001553CF">
        <w:rPr>
          <w:lang w:val="en-US"/>
        </w:rPr>
        <w:t xml:space="preserve">, and thus has redefined BC classification and treatment for these patients with limited targeted </w:t>
      </w:r>
      <w:r w:rsidR="00947C9A">
        <w:rPr>
          <w:lang w:val="en-US"/>
        </w:rPr>
        <w:t>therapy</w:t>
      </w:r>
      <w:r w:rsidR="001553CF">
        <w:rPr>
          <w:lang w:val="en-US"/>
        </w:rPr>
        <w:t xml:space="preserve"> options.</w:t>
      </w:r>
      <w:r w:rsidRPr="005C516C">
        <w:rPr>
          <w:lang w:val="en-US"/>
        </w:rPr>
        <w:t xml:space="preserve"> </w:t>
      </w:r>
      <w:r w:rsidR="00484736">
        <w:rPr>
          <w:lang w:val="en-US"/>
        </w:rPr>
        <w:t xml:space="preserve">The safety profile of </w:t>
      </w:r>
      <w:r w:rsidR="00A13FA4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 w:rsidR="00484736">
        <w:rPr>
          <w:lang w:val="en-US"/>
        </w:rPr>
        <w:t xml:space="preserve"> is consistent across tumor types, with the most common treatment-related grade 3+ adverse events including nausea, fatigue, </w:t>
      </w:r>
      <w:r w:rsidR="00DA56BE">
        <w:rPr>
          <w:lang w:val="en-US"/>
        </w:rPr>
        <w:t xml:space="preserve">and </w:t>
      </w:r>
      <w:r w:rsidR="007A3B02">
        <w:rPr>
          <w:lang w:val="en-US"/>
        </w:rPr>
        <w:t>blood disorders (</w:t>
      </w:r>
      <w:proofErr w:type="spellStart"/>
      <w:r w:rsidR="007A3B02">
        <w:rPr>
          <w:lang w:val="en-US"/>
        </w:rPr>
        <w:t>eg</w:t>
      </w:r>
      <w:proofErr w:type="spellEnd"/>
      <w:r w:rsidR="007A3B02">
        <w:rPr>
          <w:lang w:val="en-US"/>
        </w:rPr>
        <w:t>, platelet or white-cell</w:t>
      </w:r>
      <w:r w:rsidR="00DA56BE">
        <w:rPr>
          <w:lang w:val="en-US"/>
        </w:rPr>
        <w:t xml:space="preserve"> count</w:t>
      </w:r>
      <w:r w:rsidR="007A3B02">
        <w:rPr>
          <w:lang w:val="en-US"/>
        </w:rPr>
        <w:t xml:space="preserve"> decreased, anemia, neutropenia)</w:t>
      </w:r>
      <w:r w:rsidR="003F5DC8">
        <w:rPr>
          <w:lang w:val="en-US"/>
        </w:rPr>
        <w:t>. I</w:t>
      </w:r>
      <w:r w:rsidR="00A822EE">
        <w:rPr>
          <w:lang w:val="en-US"/>
        </w:rPr>
        <w:t xml:space="preserve">nterstitial lung disease </w:t>
      </w:r>
      <w:r w:rsidR="003F5DC8">
        <w:rPr>
          <w:lang w:val="en-US"/>
        </w:rPr>
        <w:t xml:space="preserve">is </w:t>
      </w:r>
      <w:r w:rsidR="00A822EE">
        <w:rPr>
          <w:lang w:val="en-US"/>
        </w:rPr>
        <w:t>an important identified risk that requires careful management.</w:t>
      </w:r>
      <w:r w:rsidR="00484736">
        <w:rPr>
          <w:lang w:val="en-US"/>
        </w:rPr>
        <w:t xml:space="preserve"> </w:t>
      </w:r>
    </w:p>
    <w:p w14:paraId="7AF4B9DE" w14:textId="77777777" w:rsidR="00484736" w:rsidRDefault="00484736" w:rsidP="00851C17">
      <w:pPr>
        <w:pStyle w:val="NormalWeb"/>
        <w:spacing w:before="0" w:beforeAutospacing="0" w:after="0" w:afterAutospacing="0"/>
        <w:rPr>
          <w:lang w:val="en-US"/>
        </w:rPr>
      </w:pPr>
    </w:p>
    <w:p w14:paraId="345388C4" w14:textId="5E992A30" w:rsidR="00C82026" w:rsidRDefault="001553CF" w:rsidP="00A822EE">
      <w:pPr>
        <w:pStyle w:val="NormalWeb"/>
        <w:spacing w:before="0" w:beforeAutospacing="0" w:after="0" w:afterAutospacing="0"/>
        <w:rPr>
          <w:lang w:val="en-US"/>
        </w:rPr>
      </w:pPr>
      <w:r>
        <w:rPr>
          <w:lang w:val="en-US"/>
        </w:rPr>
        <w:t xml:space="preserve">In BC, </w:t>
      </w:r>
      <w:r w:rsidRPr="005C516C">
        <w:rPr>
          <w:lang w:val="en-US"/>
        </w:rPr>
        <w:t>ENHERTU</w:t>
      </w:r>
      <w:r w:rsidR="00913827" w:rsidRPr="00711754">
        <w:rPr>
          <w:vertAlign w:val="superscript"/>
          <w:lang w:val="en-US"/>
        </w:rPr>
        <w:t>®</w:t>
      </w:r>
      <w:r>
        <w:rPr>
          <w:lang w:val="en-US"/>
        </w:rPr>
        <w:t xml:space="preserve"> </w:t>
      </w:r>
      <w:r w:rsidR="00815DB0">
        <w:rPr>
          <w:lang w:val="en-US"/>
        </w:rPr>
        <w:t xml:space="preserve">is </w:t>
      </w:r>
      <w:r>
        <w:rPr>
          <w:lang w:val="en-US"/>
        </w:rPr>
        <w:t xml:space="preserve">currently </w:t>
      </w:r>
      <w:r w:rsidR="00815DB0">
        <w:rPr>
          <w:lang w:val="en-US"/>
        </w:rPr>
        <w:t xml:space="preserve">under investigation in </w:t>
      </w:r>
      <w:r w:rsidR="00E12B35">
        <w:rPr>
          <w:lang w:val="en-US"/>
        </w:rPr>
        <w:t>patients with even lower</w:t>
      </w:r>
      <w:r w:rsidR="00815DB0">
        <w:rPr>
          <w:lang w:val="en-US"/>
        </w:rPr>
        <w:t xml:space="preserve"> HER2</w:t>
      </w:r>
      <w:r w:rsidR="00D0727B">
        <w:rPr>
          <w:lang w:val="en-US"/>
        </w:rPr>
        <w:t xml:space="preserve"> tumor</w:t>
      </w:r>
      <w:r w:rsidR="00A81DA2">
        <w:rPr>
          <w:lang w:val="en-US"/>
        </w:rPr>
        <w:t xml:space="preserve"> expression</w:t>
      </w:r>
      <w:r w:rsidR="00815DB0">
        <w:rPr>
          <w:lang w:val="en-US"/>
        </w:rPr>
        <w:t xml:space="preserve"> (&gt;IHC 0 and &lt;IHC 1+)</w:t>
      </w:r>
      <w:r>
        <w:rPr>
          <w:lang w:val="en-US"/>
        </w:rPr>
        <w:t xml:space="preserve"> and in earlier lines of treatment</w:t>
      </w:r>
      <w:r w:rsidR="005D256A">
        <w:rPr>
          <w:lang w:val="en-US"/>
        </w:rPr>
        <w:t xml:space="preserve"> or in combination with other therapies in breast, gastric, and lung cancer</w:t>
      </w:r>
      <w:r w:rsidR="005C516C" w:rsidRPr="005C516C">
        <w:rPr>
          <w:lang w:val="en-US"/>
        </w:rPr>
        <w:t xml:space="preserve">. </w:t>
      </w:r>
      <w:r w:rsidR="005F25AB">
        <w:rPr>
          <w:lang w:val="en-US"/>
        </w:rPr>
        <w:t xml:space="preserve">With the potential </w:t>
      </w:r>
      <w:r w:rsidR="008C354C">
        <w:rPr>
          <w:lang w:val="en-US"/>
        </w:rPr>
        <w:t>for even further impact</w:t>
      </w:r>
      <w:r w:rsidR="005F25AB">
        <w:rPr>
          <w:lang w:val="en-US"/>
        </w:rPr>
        <w:t>,</w:t>
      </w:r>
      <w:r w:rsidR="008C354C">
        <w:rPr>
          <w:lang w:val="en-US"/>
        </w:rPr>
        <w:t xml:space="preserve"> ENHERTU</w:t>
      </w:r>
      <w:r w:rsidR="008C354C" w:rsidRPr="00F419EA">
        <w:rPr>
          <w:vertAlign w:val="superscript"/>
          <w:lang w:val="en-US"/>
        </w:rPr>
        <w:t>®</w:t>
      </w:r>
      <w:r w:rsidR="008C354C">
        <w:rPr>
          <w:lang w:val="en-US"/>
        </w:rPr>
        <w:t xml:space="preserve"> is being evaluated </w:t>
      </w:r>
      <w:r w:rsidR="009919CB">
        <w:rPr>
          <w:lang w:val="en-US"/>
        </w:rPr>
        <w:t>across</w:t>
      </w:r>
      <w:r w:rsidR="008C354C">
        <w:rPr>
          <w:lang w:val="en-US"/>
        </w:rPr>
        <w:t xml:space="preserve"> many additional tumor types with expression </w:t>
      </w:r>
      <w:r w:rsidR="00B95751">
        <w:rPr>
          <w:lang w:val="en-US"/>
        </w:rPr>
        <w:t xml:space="preserve">of </w:t>
      </w:r>
      <w:r w:rsidR="008C354C">
        <w:rPr>
          <w:lang w:val="en-US"/>
        </w:rPr>
        <w:t>or alteration</w:t>
      </w:r>
      <w:r w:rsidR="002C2602">
        <w:rPr>
          <w:lang w:val="en-US"/>
        </w:rPr>
        <w:t>s in HER2</w:t>
      </w:r>
      <w:r w:rsidR="002955DD">
        <w:rPr>
          <w:lang w:val="en-US"/>
        </w:rPr>
        <w:t xml:space="preserve"> (</w:t>
      </w:r>
      <w:proofErr w:type="spellStart"/>
      <w:r w:rsidR="002955DD">
        <w:rPr>
          <w:lang w:val="en-US"/>
        </w:rPr>
        <w:t>eg</w:t>
      </w:r>
      <w:proofErr w:type="spellEnd"/>
      <w:r w:rsidR="002955DD">
        <w:rPr>
          <w:lang w:val="en-US"/>
        </w:rPr>
        <w:t xml:space="preserve">, DESTINY-PanTumor02 </w:t>
      </w:r>
      <w:r w:rsidR="009919CB">
        <w:rPr>
          <w:lang w:val="en-US"/>
        </w:rPr>
        <w:t xml:space="preserve">includes </w:t>
      </w:r>
      <w:r w:rsidR="002955DD">
        <w:rPr>
          <w:lang w:val="en-US"/>
        </w:rPr>
        <w:t xml:space="preserve">bladder cancer, biliary tract cancer, pancreatic, </w:t>
      </w:r>
      <w:r w:rsidR="009A45B5">
        <w:rPr>
          <w:lang w:val="en-US"/>
        </w:rPr>
        <w:t xml:space="preserve">and </w:t>
      </w:r>
      <w:r w:rsidR="002955DD">
        <w:rPr>
          <w:lang w:val="en-US"/>
        </w:rPr>
        <w:t>gynecologic cancers,</w:t>
      </w:r>
      <w:r w:rsidR="002F78F6">
        <w:rPr>
          <w:lang w:val="en-US"/>
        </w:rPr>
        <w:t xml:space="preserve"> among others</w:t>
      </w:r>
      <w:r w:rsidR="002955DD">
        <w:rPr>
          <w:lang w:val="en-US"/>
        </w:rPr>
        <w:t>)</w:t>
      </w:r>
      <w:r w:rsidR="002C2602">
        <w:rPr>
          <w:lang w:val="en-US"/>
        </w:rPr>
        <w:t>.</w:t>
      </w:r>
      <w:r w:rsidR="005F25AB">
        <w:rPr>
          <w:lang w:val="en-US"/>
        </w:rPr>
        <w:t xml:space="preserve"> </w:t>
      </w:r>
    </w:p>
    <w:p w14:paraId="72D3E2F7" w14:textId="60CA72C7" w:rsidR="00C82026" w:rsidRDefault="00C82026" w:rsidP="00A822EE">
      <w:pPr>
        <w:pStyle w:val="NormalWeb"/>
        <w:spacing w:before="0" w:beforeAutospacing="0" w:after="0" w:afterAutospacing="0"/>
        <w:rPr>
          <w:lang w:val="en-US"/>
        </w:rPr>
      </w:pPr>
    </w:p>
    <w:p w14:paraId="11F98469" w14:textId="15AFF67C" w:rsidR="00C82026" w:rsidRDefault="00C82026" w:rsidP="00A822EE">
      <w:pPr>
        <w:pStyle w:val="NormalWeb"/>
        <w:spacing w:before="0" w:beforeAutospacing="0" w:after="0" w:afterAutospacing="0"/>
        <w:rPr>
          <w:lang w:val="en-US"/>
        </w:rPr>
      </w:pPr>
      <w:r>
        <w:rPr>
          <w:lang w:val="en-US"/>
        </w:rPr>
        <w:t xml:space="preserve">The novel payload-linker technology used </w:t>
      </w:r>
      <w:r w:rsidR="00EA041F">
        <w:rPr>
          <w:lang w:val="en-US"/>
        </w:rPr>
        <w:t>for</w:t>
      </w:r>
      <w:r>
        <w:rPr>
          <w:lang w:val="en-US"/>
        </w:rPr>
        <w:t xml:space="preserve"> ENHERTU</w:t>
      </w:r>
      <w:r w:rsidR="00913827" w:rsidRPr="00711754">
        <w:rPr>
          <w:vertAlign w:val="superscript"/>
          <w:lang w:val="en-US"/>
        </w:rPr>
        <w:t>®</w:t>
      </w:r>
      <w:r>
        <w:rPr>
          <w:lang w:val="en-US"/>
        </w:rPr>
        <w:t xml:space="preserve"> was also used to create additional ADC candidates, which are currently under investigation in multiple clinical trials across several solid tumor </w:t>
      </w:r>
      <w:r w:rsidR="00A9395A">
        <w:rPr>
          <w:lang w:val="en-US"/>
        </w:rPr>
        <w:t>indications and</w:t>
      </w:r>
      <w:r>
        <w:rPr>
          <w:lang w:val="en-US"/>
        </w:rPr>
        <w:t xml:space="preserve"> include TROP2-directed and HER3-directed ADCs. </w:t>
      </w:r>
    </w:p>
    <w:p w14:paraId="34960E2D" w14:textId="4D84AD49" w:rsidR="00976351" w:rsidRDefault="00976351" w:rsidP="00A822EE">
      <w:pPr>
        <w:pStyle w:val="NormalWeb"/>
        <w:spacing w:before="0" w:beforeAutospacing="0" w:after="0" w:afterAutospacing="0"/>
        <w:rPr>
          <w:lang w:val="en-US"/>
        </w:rPr>
      </w:pPr>
    </w:p>
    <w:p w14:paraId="3E755749" w14:textId="1A8FBDC1" w:rsidR="005C516C" w:rsidRDefault="005C516C" w:rsidP="005C516C">
      <w:pPr>
        <w:pStyle w:val="Heading2"/>
      </w:pPr>
      <w:r>
        <w:t>Pub</w:t>
      </w:r>
      <w:r w:rsidR="00EA041F">
        <w:t>M</w:t>
      </w:r>
      <w:r>
        <w:t>ed</w:t>
      </w:r>
    </w:p>
    <w:p w14:paraId="73D30BB3" w14:textId="77777777" w:rsidR="002F78F6" w:rsidRDefault="002F78F6" w:rsidP="002F78F6">
      <w:pPr>
        <w:pStyle w:val="NormalWeb"/>
      </w:pPr>
      <w:r w:rsidRPr="00E1016D">
        <w:t>André</w:t>
      </w:r>
      <w:r>
        <w:t xml:space="preserve"> F</w:t>
      </w:r>
      <w:r w:rsidRPr="00E1016D">
        <w:t>, Park</w:t>
      </w:r>
      <w:r>
        <w:t xml:space="preserve"> YH</w:t>
      </w:r>
      <w:r w:rsidRPr="00E1016D">
        <w:t>, Kim</w:t>
      </w:r>
      <w:r>
        <w:t xml:space="preserve"> S-B</w:t>
      </w:r>
      <w:r w:rsidRPr="00E1016D">
        <w:t>,</w:t>
      </w:r>
      <w:r>
        <w:t xml:space="preserve"> et al. Trastuzumab </w:t>
      </w:r>
      <w:proofErr w:type="spellStart"/>
      <w:r>
        <w:t>deruxtecan</w:t>
      </w:r>
      <w:proofErr w:type="spellEnd"/>
      <w:r>
        <w:t xml:space="preserve"> versus </w:t>
      </w:r>
      <w:proofErr w:type="spellStart"/>
      <w:r>
        <w:t>treatment</w:t>
      </w:r>
      <w:proofErr w:type="spellEnd"/>
      <w:r>
        <w:t xml:space="preserve"> of </w:t>
      </w:r>
      <w:proofErr w:type="spellStart"/>
      <w:r>
        <w:t>physician’s</w:t>
      </w:r>
      <w:proofErr w:type="spellEnd"/>
      <w:r>
        <w:t xml:space="preserve"> </w:t>
      </w:r>
      <w:proofErr w:type="spellStart"/>
      <w:r>
        <w:t>choice</w:t>
      </w:r>
      <w:proofErr w:type="spellEnd"/>
      <w:r>
        <w:t xml:space="preserve"> in patients </w:t>
      </w:r>
      <w:proofErr w:type="spellStart"/>
      <w:r>
        <w:t>with</w:t>
      </w:r>
      <w:proofErr w:type="spellEnd"/>
      <w:r>
        <w:t xml:space="preserve"> HER2-positive </w:t>
      </w:r>
      <w:proofErr w:type="spellStart"/>
      <w:r>
        <w:t>metastatic</w:t>
      </w:r>
      <w:proofErr w:type="spellEnd"/>
      <w:r>
        <w:t xml:space="preserve"> </w:t>
      </w:r>
      <w:proofErr w:type="spellStart"/>
      <w:r>
        <w:t>breast</w:t>
      </w:r>
      <w:proofErr w:type="spellEnd"/>
      <w:r>
        <w:t xml:space="preserve"> cancer (DESTINY-Breast02</w:t>
      </w:r>
      <w:proofErr w:type="gramStart"/>
      <w:r>
        <w:t>):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randomised</w:t>
      </w:r>
      <w:proofErr w:type="spellEnd"/>
      <w:r>
        <w:t xml:space="preserve">, open-label, multicentre, phase 3 trial. </w:t>
      </w:r>
      <w:proofErr w:type="gramStart"/>
      <w:r w:rsidRPr="00464D2B">
        <w:rPr>
          <w:i/>
          <w:iCs/>
        </w:rPr>
        <w:t>Lancet</w:t>
      </w:r>
      <w:r>
        <w:t>;</w:t>
      </w:r>
      <w:proofErr w:type="gramEnd"/>
      <w:r>
        <w:t xml:space="preserve"> Epub </w:t>
      </w:r>
      <w:proofErr w:type="spellStart"/>
      <w:r>
        <w:t>ahead</w:t>
      </w:r>
      <w:proofErr w:type="spellEnd"/>
      <w:r>
        <w:t xml:space="preserve"> of </w:t>
      </w:r>
      <w:proofErr w:type="spellStart"/>
      <w:r>
        <w:t>print</w:t>
      </w:r>
      <w:proofErr w:type="spellEnd"/>
      <w:r>
        <w:t xml:space="preserve">. </w:t>
      </w:r>
      <w:r w:rsidRPr="00953C39">
        <w:t xml:space="preserve"> https://pubmed.ncbi.nlm.nih.gov/37086745/</w:t>
      </w:r>
    </w:p>
    <w:p w14:paraId="13E77524" w14:textId="31A4E53A" w:rsidR="001D311F" w:rsidRDefault="001D311F" w:rsidP="002F78F6">
      <w:pPr>
        <w:pStyle w:val="NormalWeb"/>
      </w:pPr>
      <w:r w:rsidRPr="005C516C">
        <w:rPr>
          <w:lang w:val="en-US"/>
        </w:rPr>
        <w:t xml:space="preserve">Cortes J, Kim SB, Chung WP,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versus trastuzumab emtansine for breast cancer. </w:t>
      </w:r>
      <w:r w:rsidRPr="00F56274">
        <w:rPr>
          <w:i/>
          <w:iCs/>
          <w:lang w:val="en-US"/>
        </w:rPr>
        <w:t xml:space="preserve">N </w:t>
      </w:r>
      <w:proofErr w:type="spellStart"/>
      <w:r w:rsidRPr="00F56274">
        <w:rPr>
          <w:i/>
          <w:iCs/>
          <w:lang w:val="en-US"/>
        </w:rPr>
        <w:t>Engl</w:t>
      </w:r>
      <w:proofErr w:type="spellEnd"/>
      <w:r w:rsidRPr="00F56274">
        <w:rPr>
          <w:i/>
          <w:iCs/>
          <w:lang w:val="en-US"/>
        </w:rPr>
        <w:t xml:space="preserve"> J Med</w:t>
      </w:r>
      <w:r w:rsidRPr="005C516C">
        <w:rPr>
          <w:lang w:val="en-US"/>
        </w:rPr>
        <w:t>. 2022;386(12):1143-1154.</w:t>
      </w:r>
      <w:r w:rsidRPr="005C516C">
        <w:rPr>
          <w:lang w:val="en-US"/>
        </w:rPr>
        <w:br/>
        <w:t>https://pubmed.ncbi.nlm.nih.gov/35320644/</w:t>
      </w:r>
    </w:p>
    <w:p w14:paraId="3BD7F19D" w14:textId="2BA92B1B" w:rsidR="002F78F6" w:rsidRPr="00283DB2" w:rsidRDefault="002F78F6" w:rsidP="002F78F6">
      <w:pPr>
        <w:pStyle w:val="NormalWeb"/>
      </w:pPr>
      <w:proofErr w:type="spellStart"/>
      <w:r>
        <w:t>Goto</w:t>
      </w:r>
      <w:proofErr w:type="spellEnd"/>
      <w:r>
        <w:t xml:space="preserve"> K, Kim S-W, </w:t>
      </w:r>
      <w:proofErr w:type="spellStart"/>
      <w:r>
        <w:t>Kubo</w:t>
      </w:r>
      <w:proofErr w:type="spellEnd"/>
      <w:r>
        <w:t xml:space="preserve"> T, et al. Trastuzumab </w:t>
      </w:r>
      <w:proofErr w:type="spellStart"/>
      <w:r>
        <w:t>deruxtecan</w:t>
      </w:r>
      <w:proofErr w:type="spellEnd"/>
      <w:r>
        <w:t xml:space="preserve"> in patients </w:t>
      </w:r>
      <w:proofErr w:type="spellStart"/>
      <w:r>
        <w:t>with</w:t>
      </w:r>
      <w:proofErr w:type="spellEnd"/>
      <w:r>
        <w:t xml:space="preserve"> </w:t>
      </w:r>
      <w:r>
        <w:rPr>
          <w:i/>
          <w:iCs/>
        </w:rPr>
        <w:t>HER2</w:t>
      </w:r>
      <w:r>
        <w:t xml:space="preserve"> mutant </w:t>
      </w:r>
      <w:proofErr w:type="spellStart"/>
      <w:r>
        <w:t>metastatic</w:t>
      </w:r>
      <w:proofErr w:type="spellEnd"/>
      <w:r>
        <w:t xml:space="preserve"> non–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cell</w:t>
      </w:r>
      <w:proofErr w:type="spellEnd"/>
      <w:r>
        <w:t xml:space="preserve"> </w:t>
      </w:r>
      <w:proofErr w:type="gramStart"/>
      <w:r>
        <w:t>cancer:</w:t>
      </w:r>
      <w:proofErr w:type="gramEnd"/>
      <w:r>
        <w:t xml:space="preserve"> </w:t>
      </w:r>
      <w:proofErr w:type="spellStart"/>
      <w:r>
        <w:t>interim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phase 2 DESTINY-Lung02 trial: </w:t>
      </w:r>
      <w:proofErr w:type="spellStart"/>
      <w:r w:rsidRPr="007374C1">
        <w:t>Interim</w:t>
      </w:r>
      <w:proofErr w:type="spellEnd"/>
      <w:r w:rsidRPr="007374C1">
        <w:t xml:space="preserve"> </w:t>
      </w:r>
      <w:proofErr w:type="spellStart"/>
      <w:r w:rsidRPr="007374C1">
        <w:t>results</w:t>
      </w:r>
      <w:proofErr w:type="spellEnd"/>
      <w:r w:rsidRPr="007374C1">
        <w:t xml:space="preserve"> </w:t>
      </w:r>
      <w:proofErr w:type="spellStart"/>
      <w:r w:rsidRPr="007374C1">
        <w:t>from</w:t>
      </w:r>
      <w:proofErr w:type="spellEnd"/>
      <w:r w:rsidRPr="007374C1">
        <w:t xml:space="preserve"> the phase 2 DESTINY-Lung02 trial</w:t>
      </w:r>
      <w:r>
        <w:t xml:space="preserve">. </w:t>
      </w:r>
      <w:r w:rsidRPr="00C32789">
        <w:rPr>
          <w:i/>
          <w:iCs/>
        </w:rPr>
        <w:t xml:space="preserve">Ann </w:t>
      </w:r>
      <w:proofErr w:type="spellStart"/>
      <w:r w:rsidRPr="00C32789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2022;</w:t>
      </w:r>
      <w:proofErr w:type="gramEnd"/>
      <w:r>
        <w:t>33(</w:t>
      </w:r>
      <w:proofErr w:type="spellStart"/>
      <w:r>
        <w:t>suppl</w:t>
      </w:r>
      <w:proofErr w:type="spellEnd"/>
      <w:r>
        <w:t xml:space="preserve"> 7):S1422. </w:t>
      </w:r>
    </w:p>
    <w:p w14:paraId="701B4DEE" w14:textId="75F7D406" w:rsidR="00AB41AC" w:rsidRDefault="00AB41AC" w:rsidP="00CB733B">
      <w:pPr>
        <w:pStyle w:val="NormalWeb"/>
        <w:spacing w:before="0" w:beforeAutospacing="0" w:after="0" w:afterAutospacing="0"/>
      </w:pPr>
      <w:r>
        <w:t xml:space="preserve">Hurvitz SA, </w:t>
      </w:r>
      <w:proofErr w:type="spellStart"/>
      <w:r>
        <w:t>Hegg</w:t>
      </w:r>
      <w:proofErr w:type="spellEnd"/>
      <w:r>
        <w:t xml:space="preserve"> R, Chung W-P, et al. Trastuzumab </w:t>
      </w:r>
      <w:proofErr w:type="spellStart"/>
      <w:r>
        <w:t>deruxtecan</w:t>
      </w:r>
      <w:proofErr w:type="spellEnd"/>
      <w:r>
        <w:t xml:space="preserve"> versus trastuzumab </w:t>
      </w:r>
      <w:proofErr w:type="spellStart"/>
      <w:r>
        <w:t>emtansine</w:t>
      </w:r>
      <w:proofErr w:type="spellEnd"/>
      <w:r>
        <w:t xml:space="preserve"> in patients </w:t>
      </w:r>
      <w:proofErr w:type="spellStart"/>
      <w:r>
        <w:t>with</w:t>
      </w:r>
      <w:proofErr w:type="spellEnd"/>
      <w:r>
        <w:t xml:space="preserve"> HER2-positive </w:t>
      </w:r>
      <w:proofErr w:type="spellStart"/>
      <w:r>
        <w:t>metastatic</w:t>
      </w:r>
      <w:proofErr w:type="spellEnd"/>
      <w:r>
        <w:t xml:space="preserve"> </w:t>
      </w:r>
      <w:proofErr w:type="spellStart"/>
      <w:r>
        <w:t>breast</w:t>
      </w:r>
      <w:proofErr w:type="spellEnd"/>
      <w:r>
        <w:t xml:space="preserve"> </w:t>
      </w:r>
      <w:proofErr w:type="gramStart"/>
      <w:r>
        <w:t>cancer:</w:t>
      </w:r>
      <w:proofErr w:type="gramEnd"/>
      <w:r>
        <w:t xml:space="preserve"> </w:t>
      </w:r>
      <w:proofErr w:type="spellStart"/>
      <w:r>
        <w:t>updated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DESTINY-Breast03, a </w:t>
      </w:r>
      <w:proofErr w:type="spellStart"/>
      <w:r>
        <w:t>randomised</w:t>
      </w:r>
      <w:proofErr w:type="spellEnd"/>
      <w:r>
        <w:t xml:space="preserve">, open-label, phase 3 trial. </w:t>
      </w:r>
      <w:r w:rsidRPr="00F419EA">
        <w:rPr>
          <w:i/>
          <w:iCs/>
        </w:rPr>
        <w:t>Lancet</w:t>
      </w:r>
      <w:r>
        <w:t xml:space="preserve">. </w:t>
      </w:r>
      <w:proofErr w:type="gramStart"/>
      <w:r>
        <w:t>2023;</w:t>
      </w:r>
      <w:proofErr w:type="gramEnd"/>
      <w:r>
        <w:t xml:space="preserve">401(10371):105-117. </w:t>
      </w:r>
      <w:r w:rsidRPr="00AB41AC">
        <w:t>https://pubmed.ncbi.nlm.nih.gov/36495879/</w:t>
      </w:r>
    </w:p>
    <w:p w14:paraId="595C8B38" w14:textId="77777777" w:rsidR="002F78F6" w:rsidRDefault="002F78F6" w:rsidP="002F78F6">
      <w:pPr>
        <w:pStyle w:val="NormalWeb"/>
      </w:pPr>
      <w:proofErr w:type="spellStart"/>
      <w:r>
        <w:t>Jerusalem</w:t>
      </w:r>
      <w:proofErr w:type="spellEnd"/>
      <w:r>
        <w:t xml:space="preserve"> G, Park YH, </w:t>
      </w:r>
      <w:proofErr w:type="spellStart"/>
      <w:r>
        <w:t>Yamashita</w:t>
      </w:r>
      <w:proofErr w:type="spellEnd"/>
      <w:r>
        <w:t xml:space="preserve"> T, et al. </w:t>
      </w:r>
      <w:r w:rsidRPr="00AB41AC">
        <w:t xml:space="preserve">Trastuzumab </w:t>
      </w:r>
      <w:proofErr w:type="spellStart"/>
      <w:r w:rsidRPr="00AB41AC">
        <w:t>deruxtecan</w:t>
      </w:r>
      <w:proofErr w:type="spellEnd"/>
      <w:r w:rsidRPr="00AB41AC">
        <w:t xml:space="preserve"> in HER2-positive </w:t>
      </w:r>
      <w:proofErr w:type="spellStart"/>
      <w:r w:rsidRPr="00AB41AC">
        <w:t>metastatic</w:t>
      </w:r>
      <w:proofErr w:type="spellEnd"/>
      <w:r w:rsidRPr="00AB41AC">
        <w:t xml:space="preserve"> </w:t>
      </w:r>
      <w:proofErr w:type="spellStart"/>
      <w:r w:rsidRPr="00AB41AC">
        <w:t>breast</w:t>
      </w:r>
      <w:proofErr w:type="spellEnd"/>
      <w:r w:rsidRPr="00AB41AC">
        <w:t xml:space="preserve"> cancer patients </w:t>
      </w:r>
      <w:proofErr w:type="spellStart"/>
      <w:r w:rsidRPr="00AB41AC">
        <w:t>with</w:t>
      </w:r>
      <w:proofErr w:type="spellEnd"/>
      <w:r w:rsidRPr="00AB41AC">
        <w:t xml:space="preserve"> </w:t>
      </w:r>
      <w:proofErr w:type="spellStart"/>
      <w:r w:rsidRPr="00AB41AC">
        <w:t>brain</w:t>
      </w:r>
      <w:proofErr w:type="spellEnd"/>
      <w:r w:rsidRPr="00AB41AC">
        <w:t xml:space="preserve"> </w:t>
      </w:r>
      <w:proofErr w:type="spellStart"/>
      <w:proofErr w:type="gramStart"/>
      <w:r w:rsidRPr="00AB41AC">
        <w:t>metastases</w:t>
      </w:r>
      <w:proofErr w:type="spellEnd"/>
      <w:r w:rsidRPr="00AB41AC">
        <w:t>:</w:t>
      </w:r>
      <w:proofErr w:type="gramEnd"/>
      <w:r w:rsidRPr="00AB41AC">
        <w:t xml:space="preserve"> A DESTINY-Breast01 </w:t>
      </w:r>
      <w:proofErr w:type="spellStart"/>
      <w:r w:rsidRPr="00AB41AC">
        <w:t>subgroup</w:t>
      </w:r>
      <w:proofErr w:type="spellEnd"/>
      <w:r w:rsidRPr="00AB41AC">
        <w:t xml:space="preserve"> </w:t>
      </w:r>
      <w:proofErr w:type="spellStart"/>
      <w:r w:rsidRPr="00AB41AC">
        <w:t>analysis</w:t>
      </w:r>
      <w:proofErr w:type="spellEnd"/>
      <w:r>
        <w:t xml:space="preserve">. </w:t>
      </w:r>
      <w:r w:rsidRPr="005B6B22">
        <w:rPr>
          <w:i/>
          <w:iCs/>
        </w:rPr>
        <w:t xml:space="preserve">Cancer </w:t>
      </w:r>
      <w:proofErr w:type="spellStart"/>
      <w:r w:rsidRPr="005B6B22">
        <w:rPr>
          <w:i/>
          <w:iCs/>
        </w:rPr>
        <w:t>Discov</w:t>
      </w:r>
      <w:proofErr w:type="spellEnd"/>
      <w:r>
        <w:t xml:space="preserve">. </w:t>
      </w:r>
      <w:proofErr w:type="gramStart"/>
      <w:r>
        <w:t>2022;</w:t>
      </w:r>
      <w:proofErr w:type="gramEnd"/>
      <w:r>
        <w:t xml:space="preserve">12(12):2754-2762. </w:t>
      </w:r>
      <w:r w:rsidRPr="00CD5346">
        <w:t>https://www.ncbi.nlm.nih.gov/pmc/articles/PMC9716244/</w:t>
      </w:r>
    </w:p>
    <w:p w14:paraId="10238375" w14:textId="7F5ACB5B" w:rsidR="001D311F" w:rsidRDefault="001D311F" w:rsidP="002F78F6">
      <w:pPr>
        <w:pStyle w:val="NormalWeb"/>
      </w:pPr>
      <w:r w:rsidRPr="005C516C">
        <w:rPr>
          <w:lang w:val="en-US"/>
        </w:rPr>
        <w:lastRenderedPageBreak/>
        <w:t xml:space="preserve">Li BT, Smit EF, </w:t>
      </w:r>
      <w:proofErr w:type="spellStart"/>
      <w:r w:rsidRPr="005C516C">
        <w:rPr>
          <w:lang w:val="en-US"/>
        </w:rPr>
        <w:t>Goto</w:t>
      </w:r>
      <w:proofErr w:type="spellEnd"/>
      <w:r w:rsidRPr="005C516C">
        <w:rPr>
          <w:lang w:val="en-US"/>
        </w:rPr>
        <w:t xml:space="preserve"> Y,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HER2-mutant non-small-cell lung cancer. </w:t>
      </w:r>
      <w:r w:rsidRPr="00F56274">
        <w:rPr>
          <w:i/>
          <w:iCs/>
          <w:lang w:val="en-US"/>
        </w:rPr>
        <w:t xml:space="preserve">N </w:t>
      </w:r>
      <w:proofErr w:type="spellStart"/>
      <w:r w:rsidRPr="00F56274">
        <w:rPr>
          <w:i/>
          <w:iCs/>
          <w:lang w:val="en-US"/>
        </w:rPr>
        <w:t>Engl</w:t>
      </w:r>
      <w:proofErr w:type="spellEnd"/>
      <w:r w:rsidRPr="00F56274">
        <w:rPr>
          <w:i/>
          <w:iCs/>
          <w:lang w:val="en-US"/>
        </w:rPr>
        <w:t xml:space="preserve"> J Med</w:t>
      </w:r>
      <w:r w:rsidRPr="005C516C">
        <w:rPr>
          <w:lang w:val="en-US"/>
        </w:rPr>
        <w:t>. 2022;386(3):241-251.</w:t>
      </w:r>
      <w:r>
        <w:rPr>
          <w:lang w:val="en-US"/>
        </w:rPr>
        <w:t xml:space="preserve"> </w:t>
      </w:r>
      <w:r w:rsidRPr="005C516C">
        <w:rPr>
          <w:lang w:val="en-US"/>
        </w:rPr>
        <w:t>https://pubmed.ncbi.nlm.nih.gov/34534430/</w:t>
      </w:r>
    </w:p>
    <w:p w14:paraId="69E17A34" w14:textId="60B162AD" w:rsidR="002F78F6" w:rsidRDefault="002F78F6" w:rsidP="002F78F6">
      <w:pPr>
        <w:pStyle w:val="NormalWeb"/>
        <w:rPr>
          <w:lang w:val="en-US"/>
        </w:rPr>
      </w:pPr>
      <w:r>
        <w:t xml:space="preserve">Modi S, Saura C, </w:t>
      </w:r>
      <w:proofErr w:type="spellStart"/>
      <w:r>
        <w:t>Yamashita</w:t>
      </w:r>
      <w:proofErr w:type="spellEnd"/>
      <w:r>
        <w:t xml:space="preserve"> T, et al. </w:t>
      </w:r>
      <w:r w:rsidRPr="005C516C">
        <w:rPr>
          <w:lang w:val="en-US"/>
        </w:rPr>
        <w:t xml:space="preserve">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previously treated HER2-positive breast cancer. </w:t>
      </w:r>
      <w:r w:rsidRPr="00896617">
        <w:rPr>
          <w:i/>
          <w:iCs/>
          <w:lang w:val="en-US"/>
        </w:rPr>
        <w:t xml:space="preserve">N </w:t>
      </w:r>
      <w:proofErr w:type="spellStart"/>
      <w:r w:rsidRPr="00896617">
        <w:rPr>
          <w:i/>
          <w:iCs/>
          <w:lang w:val="en-US"/>
        </w:rPr>
        <w:t>Engl</w:t>
      </w:r>
      <w:proofErr w:type="spellEnd"/>
      <w:r w:rsidRPr="00896617">
        <w:rPr>
          <w:i/>
          <w:iCs/>
          <w:lang w:val="en-US"/>
        </w:rPr>
        <w:t xml:space="preserve"> J Med</w:t>
      </w:r>
      <w:r w:rsidRPr="005C516C">
        <w:rPr>
          <w:lang w:val="en-US"/>
        </w:rPr>
        <w:t>. 2020;382(7):610-621.</w:t>
      </w:r>
      <w:r w:rsidRPr="005C516C">
        <w:rPr>
          <w:lang w:val="en-US"/>
        </w:rPr>
        <w:br/>
        <w:t xml:space="preserve">https://www.ncbi.nlm.nih.gov/pubmed/31825192 </w:t>
      </w:r>
    </w:p>
    <w:p w14:paraId="217DED4F" w14:textId="0FE54700" w:rsidR="002F78F6" w:rsidRDefault="002F78F6" w:rsidP="002F78F6">
      <w:pPr>
        <w:pStyle w:val="NormalWeb"/>
        <w:rPr>
          <w:lang w:val="en-US"/>
        </w:rPr>
      </w:pPr>
      <w:r w:rsidRPr="005C516C">
        <w:rPr>
          <w:lang w:val="en-US"/>
        </w:rPr>
        <w:t xml:space="preserve">Modi S, Park H, Murthy RK, et al. Antitumor </w:t>
      </w:r>
      <w:proofErr w:type="gramStart"/>
      <w:r w:rsidRPr="005C516C">
        <w:rPr>
          <w:lang w:val="en-US"/>
        </w:rPr>
        <w:t>activity</w:t>
      </w:r>
      <w:proofErr w:type="gramEnd"/>
      <w:r w:rsidRPr="005C516C">
        <w:rPr>
          <w:lang w:val="en-US"/>
        </w:rPr>
        <w:t xml:space="preserve"> and safety of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patients with HER2-low-expressing advanced breast cancer: results from a phase </w:t>
      </w:r>
      <w:proofErr w:type="spellStart"/>
      <w:r w:rsidRPr="005C516C">
        <w:rPr>
          <w:lang w:val="en-US"/>
        </w:rPr>
        <w:t>Ib</w:t>
      </w:r>
      <w:proofErr w:type="spellEnd"/>
      <w:r w:rsidRPr="005C516C">
        <w:rPr>
          <w:lang w:val="en-US"/>
        </w:rPr>
        <w:t xml:space="preserve"> </w:t>
      </w:r>
      <w:r>
        <w:rPr>
          <w:lang w:val="en-US"/>
        </w:rPr>
        <w:t>s</w:t>
      </w:r>
      <w:r w:rsidRPr="005C516C">
        <w:rPr>
          <w:lang w:val="en-US"/>
        </w:rPr>
        <w:t xml:space="preserve">tudy. </w:t>
      </w:r>
      <w:r w:rsidRPr="00E14F33">
        <w:rPr>
          <w:i/>
          <w:iCs/>
          <w:lang w:val="en-US"/>
        </w:rPr>
        <w:t>J Clin Oncol</w:t>
      </w:r>
      <w:r w:rsidRPr="005C516C">
        <w:rPr>
          <w:lang w:val="en-US"/>
        </w:rPr>
        <w:t>. 2020</w:t>
      </w:r>
      <w:r>
        <w:rPr>
          <w:lang w:val="en-US"/>
        </w:rPr>
        <w:t>;</w:t>
      </w:r>
      <w:r w:rsidRPr="00A96B82">
        <w:rPr>
          <w:lang w:val="en-US"/>
        </w:rPr>
        <w:t>10;38(17):1887-1896.</w:t>
      </w:r>
      <w:r>
        <w:rPr>
          <w:lang w:val="en-US"/>
        </w:rPr>
        <w:t xml:space="preserve"> </w:t>
      </w:r>
      <w:r w:rsidRPr="005C516C">
        <w:rPr>
          <w:lang w:val="en-US"/>
        </w:rPr>
        <w:t>https://www.ncbi.nlm.nih.gov/pubmed/32058843</w:t>
      </w:r>
    </w:p>
    <w:p w14:paraId="39051740" w14:textId="77777777" w:rsidR="002F78F6" w:rsidRDefault="002F78F6" w:rsidP="002F78F6">
      <w:pPr>
        <w:pStyle w:val="NormalWeb"/>
      </w:pPr>
      <w:r w:rsidRPr="005C516C">
        <w:rPr>
          <w:lang w:val="en-US"/>
        </w:rPr>
        <w:t xml:space="preserve">Modi S, Andre F, Krop I,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for HER2-positive metastatic breast cancer: DESTINY-Breast01 subgroup analysis. </w:t>
      </w:r>
      <w:r w:rsidRPr="00563769">
        <w:rPr>
          <w:i/>
          <w:iCs/>
        </w:rPr>
        <w:t xml:space="preserve">J Clin </w:t>
      </w:r>
      <w:proofErr w:type="spellStart"/>
      <w:r w:rsidRPr="00563769">
        <w:rPr>
          <w:i/>
          <w:iCs/>
        </w:rPr>
        <w:t>Oncol</w:t>
      </w:r>
      <w:proofErr w:type="spellEnd"/>
      <w:r>
        <w:t xml:space="preserve"> </w:t>
      </w:r>
      <w:proofErr w:type="gramStart"/>
      <w:r>
        <w:t>38:</w:t>
      </w:r>
      <w:proofErr w:type="gramEnd"/>
      <w:r>
        <w:t>2020(15_suppl). Abstract 1036.</w:t>
      </w:r>
    </w:p>
    <w:p w14:paraId="4D1E77FD" w14:textId="77777777" w:rsidR="002F78F6" w:rsidRDefault="002F78F6" w:rsidP="002F78F6">
      <w:pPr>
        <w:pStyle w:val="NormalWeb"/>
        <w:rPr>
          <w:lang w:val="en-US"/>
        </w:rPr>
      </w:pPr>
      <w:r>
        <w:t xml:space="preserve">Modi S, Saura C, </w:t>
      </w:r>
      <w:proofErr w:type="spellStart"/>
      <w:r>
        <w:t>Yamashita</w:t>
      </w:r>
      <w:proofErr w:type="spellEnd"/>
      <w:r>
        <w:t xml:space="preserve"> T, et al. </w:t>
      </w:r>
      <w:r w:rsidRPr="005C516C">
        <w:rPr>
          <w:lang w:val="en-US"/>
        </w:rPr>
        <w:t xml:space="preserve">Updated results from DESTINY-Breast01, a </w:t>
      </w:r>
      <w:r>
        <w:rPr>
          <w:lang w:val="en-US"/>
        </w:rPr>
        <w:t>p</w:t>
      </w:r>
      <w:r w:rsidRPr="005C516C">
        <w:rPr>
          <w:lang w:val="en-US"/>
        </w:rPr>
        <w:t xml:space="preserve">hase 2 trial of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HER2-positive metastatic breast cancer. </w:t>
      </w:r>
      <w:r>
        <w:rPr>
          <w:lang w:val="en-US"/>
        </w:rPr>
        <w:t>Cancer Res. 2021;81(4_suppl). Abstract PD3-06</w:t>
      </w:r>
      <w:r w:rsidRPr="005C516C">
        <w:rPr>
          <w:lang w:val="en-US"/>
        </w:rPr>
        <w:t>.</w:t>
      </w:r>
    </w:p>
    <w:p w14:paraId="0FB12CE3" w14:textId="07259617" w:rsidR="001D311F" w:rsidRDefault="001D311F" w:rsidP="002F78F6">
      <w:pPr>
        <w:pStyle w:val="NormalWeb"/>
        <w:rPr>
          <w:lang w:val="en-US"/>
        </w:rPr>
      </w:pPr>
      <w:r w:rsidRPr="005C516C">
        <w:rPr>
          <w:lang w:val="en-US"/>
        </w:rPr>
        <w:t xml:space="preserve">Modi S, Jacot W, Yamashita T,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previously treated HER2-low advanced breast cancer. </w:t>
      </w:r>
      <w:r w:rsidRPr="00F56274">
        <w:rPr>
          <w:i/>
          <w:iCs/>
          <w:lang w:val="en-US"/>
        </w:rPr>
        <w:t xml:space="preserve">N </w:t>
      </w:r>
      <w:proofErr w:type="spellStart"/>
      <w:r w:rsidRPr="00F56274">
        <w:rPr>
          <w:i/>
          <w:iCs/>
          <w:lang w:val="en-US"/>
        </w:rPr>
        <w:t>Engl</w:t>
      </w:r>
      <w:proofErr w:type="spellEnd"/>
      <w:r w:rsidRPr="00F56274">
        <w:rPr>
          <w:i/>
          <w:iCs/>
          <w:lang w:val="en-US"/>
        </w:rPr>
        <w:t xml:space="preserve"> J Med</w:t>
      </w:r>
      <w:r w:rsidRPr="005C516C">
        <w:rPr>
          <w:lang w:val="en-US"/>
        </w:rPr>
        <w:t>. 2022</w:t>
      </w:r>
      <w:r>
        <w:rPr>
          <w:lang w:val="en-US"/>
        </w:rPr>
        <w:t>;387(1):9-20.</w:t>
      </w:r>
      <w:r w:rsidRPr="005C516C">
        <w:rPr>
          <w:lang w:val="en-US"/>
        </w:rPr>
        <w:br/>
        <w:t>https://pubmed.ncbi.nlm.nih.gov/35665782/</w:t>
      </w:r>
    </w:p>
    <w:p w14:paraId="10F095F8" w14:textId="2AF48AF6" w:rsidR="001D311F" w:rsidRDefault="001D311F" w:rsidP="002F78F6">
      <w:pPr>
        <w:pStyle w:val="NormalWeb"/>
        <w:rPr>
          <w:lang w:val="en-US"/>
        </w:rPr>
      </w:pPr>
      <w:proofErr w:type="spellStart"/>
      <w:r>
        <w:t>Nakada</w:t>
      </w:r>
      <w:proofErr w:type="spellEnd"/>
      <w:r>
        <w:t xml:space="preserve"> T, </w:t>
      </w:r>
      <w:proofErr w:type="spellStart"/>
      <w:r>
        <w:t>Sugihara</w:t>
      </w:r>
      <w:proofErr w:type="spellEnd"/>
      <w:r>
        <w:t xml:space="preserve"> K, </w:t>
      </w:r>
      <w:proofErr w:type="spellStart"/>
      <w:r>
        <w:t>Jikoh</w:t>
      </w:r>
      <w:proofErr w:type="spellEnd"/>
      <w:r>
        <w:t xml:space="preserve"> T, et al. </w:t>
      </w:r>
      <w:r w:rsidRPr="005C516C">
        <w:rPr>
          <w:lang w:val="en-US"/>
        </w:rPr>
        <w:t xml:space="preserve">The latest research and development into the antibody-drug conjugate, [fam-]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(DS-8201a), for HER2 cancer therapy. </w:t>
      </w:r>
      <w:r w:rsidRPr="00F56274">
        <w:rPr>
          <w:i/>
          <w:iCs/>
          <w:lang w:val="en-US"/>
        </w:rPr>
        <w:t>Chem Phar Bull (Tokyo)</w:t>
      </w:r>
      <w:r>
        <w:rPr>
          <w:lang w:val="en-US"/>
        </w:rPr>
        <w:t>.</w:t>
      </w:r>
      <w:r w:rsidRPr="005C516C">
        <w:rPr>
          <w:lang w:val="en-US"/>
        </w:rPr>
        <w:t xml:space="preserve"> 2019</w:t>
      </w:r>
      <w:r>
        <w:rPr>
          <w:lang w:val="en-US"/>
        </w:rPr>
        <w:t>;</w:t>
      </w:r>
      <w:r w:rsidRPr="005C516C">
        <w:rPr>
          <w:lang w:val="en-US"/>
        </w:rPr>
        <w:t>67(3):173-185.</w:t>
      </w:r>
      <w:r>
        <w:rPr>
          <w:lang w:val="en-US"/>
        </w:rPr>
        <w:t xml:space="preserve"> </w:t>
      </w:r>
      <w:r w:rsidRPr="005C516C">
        <w:rPr>
          <w:lang w:val="en-US"/>
        </w:rPr>
        <w:t>https://pubmed.ncbi.nlm.nih.gov/30827997/</w:t>
      </w:r>
    </w:p>
    <w:p w14:paraId="1C2D5475" w14:textId="6A887B57" w:rsidR="002F78F6" w:rsidRDefault="002F78F6" w:rsidP="002F78F6">
      <w:pPr>
        <w:pStyle w:val="NormalWeb"/>
      </w:pPr>
      <w:proofErr w:type="spellStart"/>
      <w:r w:rsidRPr="005C516C">
        <w:rPr>
          <w:lang w:val="en-US"/>
        </w:rPr>
        <w:t>Ogitani</w:t>
      </w:r>
      <w:proofErr w:type="spellEnd"/>
      <w:r>
        <w:rPr>
          <w:lang w:val="en-US"/>
        </w:rPr>
        <w:t xml:space="preserve"> </w:t>
      </w:r>
      <w:r w:rsidRPr="005C516C">
        <w:rPr>
          <w:lang w:val="en-US"/>
        </w:rPr>
        <w:t xml:space="preserve">Y, Abe Y, Iguchi T, et al. Wide application of a novel topoisomerase I inhibitor-based drug conjugation technology. </w:t>
      </w:r>
      <w:proofErr w:type="spellStart"/>
      <w:r w:rsidRPr="00F56274">
        <w:rPr>
          <w:i/>
          <w:iCs/>
          <w:lang w:val="en-US"/>
        </w:rPr>
        <w:t>Bioorg</w:t>
      </w:r>
      <w:proofErr w:type="spellEnd"/>
      <w:r w:rsidRPr="00F56274">
        <w:rPr>
          <w:i/>
          <w:iCs/>
          <w:lang w:val="en-US"/>
        </w:rPr>
        <w:t xml:space="preserve"> Med Chem Lett</w:t>
      </w:r>
      <w:r w:rsidRPr="005C516C">
        <w:rPr>
          <w:lang w:val="en-US"/>
        </w:rPr>
        <w:t xml:space="preserve">. 2016;26(20):5069-5072. </w:t>
      </w:r>
      <w:r w:rsidRPr="005C516C">
        <w:rPr>
          <w:lang w:val="en-US"/>
        </w:rPr>
        <w:br/>
        <w:t>https://pubmed.ncbi.nlm.nih.gov/27599744/</w:t>
      </w:r>
    </w:p>
    <w:p w14:paraId="580CA759" w14:textId="01E7C22C" w:rsidR="002F78F6" w:rsidRDefault="002F78F6" w:rsidP="002F78F6">
      <w:pPr>
        <w:pStyle w:val="NormalWeb"/>
      </w:pPr>
      <w:r w:rsidRPr="00B612FD">
        <w:t>Pérez-García</w:t>
      </w:r>
      <w:r>
        <w:t xml:space="preserve"> JM</w:t>
      </w:r>
      <w:r w:rsidRPr="00B612FD">
        <w:t>,</w:t>
      </w:r>
      <w:r>
        <w:t xml:space="preserve"> </w:t>
      </w:r>
      <w:proofErr w:type="spellStart"/>
      <w:r w:rsidRPr="00B612FD">
        <w:t>Vaz</w:t>
      </w:r>
      <w:proofErr w:type="spellEnd"/>
      <w:r w:rsidRPr="00B612FD">
        <w:t xml:space="preserve"> Batista</w:t>
      </w:r>
      <w:r>
        <w:t xml:space="preserve"> M</w:t>
      </w:r>
      <w:r w:rsidRPr="00B612FD">
        <w:t>, Cortez</w:t>
      </w:r>
      <w:r>
        <w:t xml:space="preserve"> P</w:t>
      </w:r>
      <w:r w:rsidRPr="00B612FD">
        <w:t>,</w:t>
      </w:r>
      <w:r>
        <w:t xml:space="preserve"> et al. </w:t>
      </w:r>
      <w:r w:rsidRPr="00B612FD">
        <w:t xml:space="preserve">Trastuzumab </w:t>
      </w:r>
      <w:proofErr w:type="spellStart"/>
      <w:r w:rsidRPr="00B612FD">
        <w:t>deruxtecan</w:t>
      </w:r>
      <w:proofErr w:type="spellEnd"/>
      <w:r w:rsidRPr="00B612FD">
        <w:t xml:space="preserve"> in patients </w:t>
      </w:r>
      <w:proofErr w:type="spellStart"/>
      <w:r w:rsidRPr="00B612FD">
        <w:t>with</w:t>
      </w:r>
      <w:proofErr w:type="spellEnd"/>
      <w:r w:rsidRPr="00B612FD">
        <w:t xml:space="preserve"> central </w:t>
      </w:r>
      <w:proofErr w:type="spellStart"/>
      <w:r w:rsidRPr="00B612FD">
        <w:t>nervous</w:t>
      </w:r>
      <w:proofErr w:type="spellEnd"/>
      <w:r w:rsidRPr="00B612FD">
        <w:t xml:space="preserve"> system </w:t>
      </w:r>
      <w:proofErr w:type="spellStart"/>
      <w:r w:rsidRPr="00B612FD">
        <w:t>involvement</w:t>
      </w:r>
      <w:proofErr w:type="spellEnd"/>
      <w:r w:rsidRPr="00B612FD">
        <w:t xml:space="preserve"> </w:t>
      </w:r>
      <w:proofErr w:type="spellStart"/>
      <w:r w:rsidRPr="00B612FD">
        <w:t>from</w:t>
      </w:r>
      <w:proofErr w:type="spellEnd"/>
      <w:r w:rsidRPr="00B612FD">
        <w:t xml:space="preserve"> HER2-positive </w:t>
      </w:r>
      <w:proofErr w:type="spellStart"/>
      <w:r w:rsidRPr="00B612FD">
        <w:t>breast</w:t>
      </w:r>
      <w:proofErr w:type="spellEnd"/>
      <w:r w:rsidRPr="00B612FD">
        <w:t xml:space="preserve"> </w:t>
      </w:r>
      <w:proofErr w:type="gramStart"/>
      <w:r w:rsidRPr="00B612FD">
        <w:t>cancer:</w:t>
      </w:r>
      <w:proofErr w:type="gramEnd"/>
      <w:r w:rsidRPr="00B612FD">
        <w:t xml:space="preserve"> The DEBBRAH trial</w:t>
      </w:r>
      <w:r>
        <w:t xml:space="preserve">. </w:t>
      </w:r>
      <w:r w:rsidRPr="00D0309D">
        <w:rPr>
          <w:i/>
          <w:iCs/>
        </w:rPr>
        <w:t xml:space="preserve">Neuro </w:t>
      </w:r>
      <w:proofErr w:type="spellStart"/>
      <w:r w:rsidRPr="00D0309D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2023;</w:t>
      </w:r>
      <w:proofErr w:type="gramEnd"/>
      <w:r>
        <w:t xml:space="preserve">25(1):157-166. </w:t>
      </w:r>
      <w:r w:rsidRPr="00B612FD">
        <w:t>https://www.ncbi.nlm.nih.gov/pmc/articles/PMC9825345/</w:t>
      </w:r>
    </w:p>
    <w:p w14:paraId="229EA00A" w14:textId="77777777" w:rsidR="001D311F" w:rsidRDefault="001D311F" w:rsidP="002F78F6">
      <w:pPr>
        <w:pStyle w:val="NormalWeb"/>
        <w:rPr>
          <w:lang w:val="en-US"/>
        </w:rPr>
      </w:pPr>
      <w:proofErr w:type="spellStart"/>
      <w:r w:rsidRPr="005C516C">
        <w:rPr>
          <w:lang w:val="en-US"/>
        </w:rPr>
        <w:t>Schettini</w:t>
      </w:r>
      <w:proofErr w:type="spellEnd"/>
      <w:r w:rsidRPr="005C516C">
        <w:rPr>
          <w:lang w:val="en-US"/>
        </w:rPr>
        <w:t xml:space="preserve"> F, Chic N, </w:t>
      </w:r>
      <w:proofErr w:type="spellStart"/>
      <w:r w:rsidRPr="005C516C">
        <w:rPr>
          <w:lang w:val="en-US"/>
        </w:rPr>
        <w:t>Braso-Maristany</w:t>
      </w:r>
      <w:proofErr w:type="spellEnd"/>
      <w:r w:rsidRPr="005C516C">
        <w:rPr>
          <w:lang w:val="en-US"/>
        </w:rPr>
        <w:t xml:space="preserve"> F, et al. Clinical, pathological, and PAM50 gene expression features of HER2-low breast cancer. </w:t>
      </w:r>
      <w:r w:rsidRPr="003B44B7">
        <w:rPr>
          <w:i/>
          <w:iCs/>
          <w:lang w:val="en-US"/>
        </w:rPr>
        <w:t>NPJ Breast Cancer</w:t>
      </w:r>
      <w:r w:rsidRPr="005C516C">
        <w:rPr>
          <w:lang w:val="en-US"/>
        </w:rPr>
        <w:t xml:space="preserve">. 2021;7(1):1. </w:t>
      </w:r>
      <w:proofErr w:type="spellStart"/>
      <w:r w:rsidRPr="005C516C">
        <w:rPr>
          <w:lang w:val="en-US"/>
        </w:rPr>
        <w:t>doi</w:t>
      </w:r>
      <w:proofErr w:type="spellEnd"/>
      <w:r w:rsidRPr="005C516C">
        <w:rPr>
          <w:lang w:val="en-US"/>
        </w:rPr>
        <w:t xml:space="preserve">: 10.1038/s41523-020-00208-2. https://pubmed.ncbi.nlm.nih.gov/33397968/ </w:t>
      </w:r>
    </w:p>
    <w:p w14:paraId="78023743" w14:textId="22E4124C" w:rsidR="002F78F6" w:rsidRDefault="002F78F6" w:rsidP="002F78F6">
      <w:pPr>
        <w:pStyle w:val="NormalWeb"/>
      </w:pPr>
      <w:proofErr w:type="spellStart"/>
      <w:r w:rsidRPr="005C516C">
        <w:rPr>
          <w:lang w:val="en-US"/>
        </w:rPr>
        <w:t>Shitara</w:t>
      </w:r>
      <w:proofErr w:type="spellEnd"/>
      <w:r w:rsidRPr="005C516C">
        <w:rPr>
          <w:lang w:val="en-US"/>
        </w:rPr>
        <w:t xml:space="preserve"> K, Iwata H, Takahashi S,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(DS-8201a) in patients with advanced HER2-positive gastric cancer: a dose-expansion, phase 1 study. </w:t>
      </w:r>
      <w:r w:rsidRPr="005A2449">
        <w:rPr>
          <w:i/>
          <w:iCs/>
        </w:rPr>
        <w:t xml:space="preserve">Lancet </w:t>
      </w:r>
      <w:proofErr w:type="spellStart"/>
      <w:r w:rsidRPr="005A2449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2019;</w:t>
      </w:r>
      <w:proofErr w:type="gramEnd"/>
      <w:r>
        <w:t>20(6):827-836. https://www.ncbi.nlm.nih.gov/pubmed/31047804</w:t>
      </w:r>
    </w:p>
    <w:p w14:paraId="2252E59A" w14:textId="77777777" w:rsidR="002F78F6" w:rsidRDefault="002F78F6" w:rsidP="002F78F6">
      <w:pPr>
        <w:pStyle w:val="NormalWeb"/>
        <w:rPr>
          <w:lang w:val="en-US"/>
        </w:rPr>
      </w:pPr>
      <w:proofErr w:type="spellStart"/>
      <w:r>
        <w:t>Shitara</w:t>
      </w:r>
      <w:proofErr w:type="spellEnd"/>
      <w:r>
        <w:t xml:space="preserve"> K, Bang YJ, </w:t>
      </w:r>
      <w:proofErr w:type="spellStart"/>
      <w:r>
        <w:t>Iwasa</w:t>
      </w:r>
      <w:proofErr w:type="spellEnd"/>
      <w:r>
        <w:t xml:space="preserve"> S, et al. </w:t>
      </w:r>
      <w:r w:rsidRPr="005C516C">
        <w:rPr>
          <w:lang w:val="en-US"/>
        </w:rPr>
        <w:t xml:space="preserve">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(T-DXd; DS-8201) in patients with HER2-positive advanced gastric or gastroesophageal junction (GEJ) adenocarcinoma: A randomized, phase II, multicenter, open-label study (DESTINY-Gastric01). </w:t>
      </w:r>
      <w:r w:rsidRPr="002E10AC">
        <w:rPr>
          <w:i/>
          <w:iCs/>
          <w:lang w:val="en-US"/>
        </w:rPr>
        <w:t>J Clin Oncol</w:t>
      </w:r>
      <w:r>
        <w:rPr>
          <w:i/>
          <w:iCs/>
          <w:lang w:val="en-US"/>
        </w:rPr>
        <w:t>.</w:t>
      </w:r>
      <w:r w:rsidRPr="005C516C">
        <w:rPr>
          <w:lang w:val="en-US"/>
        </w:rPr>
        <w:t xml:space="preserve"> 2020</w:t>
      </w:r>
      <w:r>
        <w:rPr>
          <w:lang w:val="en-US"/>
        </w:rPr>
        <w:t>;38</w:t>
      </w:r>
      <w:r w:rsidRPr="005C516C">
        <w:rPr>
          <w:lang w:val="en-US"/>
        </w:rPr>
        <w:t>(suppl</w:t>
      </w:r>
      <w:r>
        <w:rPr>
          <w:lang w:val="en-US"/>
        </w:rPr>
        <w:t>).</w:t>
      </w:r>
      <w:r w:rsidRPr="005C516C">
        <w:rPr>
          <w:lang w:val="en-US"/>
        </w:rPr>
        <w:t xml:space="preserve"> </w:t>
      </w:r>
      <w:r>
        <w:rPr>
          <w:lang w:val="en-US"/>
        </w:rPr>
        <w:t>A</w:t>
      </w:r>
      <w:r w:rsidRPr="005C516C">
        <w:rPr>
          <w:lang w:val="en-US"/>
        </w:rPr>
        <w:t>bstr</w:t>
      </w:r>
      <w:r>
        <w:rPr>
          <w:lang w:val="en-US"/>
        </w:rPr>
        <w:t>act</w:t>
      </w:r>
      <w:r w:rsidRPr="005C516C">
        <w:rPr>
          <w:lang w:val="en-US"/>
        </w:rPr>
        <w:t xml:space="preserve"> 4513.</w:t>
      </w:r>
    </w:p>
    <w:p w14:paraId="1BA674EC" w14:textId="77777777" w:rsidR="002F78F6" w:rsidRDefault="002F78F6" w:rsidP="002F78F6">
      <w:pPr>
        <w:pStyle w:val="NormalWeb"/>
        <w:rPr>
          <w:lang w:val="en-US"/>
        </w:rPr>
      </w:pPr>
      <w:proofErr w:type="spellStart"/>
      <w:r w:rsidRPr="005C516C">
        <w:rPr>
          <w:lang w:val="en-US"/>
        </w:rPr>
        <w:lastRenderedPageBreak/>
        <w:t>Shitara</w:t>
      </w:r>
      <w:proofErr w:type="spellEnd"/>
      <w:r w:rsidRPr="005C516C">
        <w:rPr>
          <w:lang w:val="en-US"/>
        </w:rPr>
        <w:t xml:space="preserve"> K, Bang YJ, </w:t>
      </w:r>
      <w:proofErr w:type="spellStart"/>
      <w:r w:rsidRPr="005C516C">
        <w:rPr>
          <w:lang w:val="en-US"/>
        </w:rPr>
        <w:t>Iwasa</w:t>
      </w:r>
      <w:proofErr w:type="spellEnd"/>
      <w:r w:rsidRPr="005C516C">
        <w:rPr>
          <w:lang w:val="en-US"/>
        </w:rPr>
        <w:t xml:space="preserve"> S,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in previously</w:t>
      </w:r>
      <w:r w:rsidRPr="005C516C">
        <w:rPr>
          <w:lang w:val="en-US"/>
        </w:rPr>
        <w:br/>
        <w:t xml:space="preserve">treated HER2-positive gastric cancer. </w:t>
      </w:r>
      <w:r w:rsidRPr="0077782A">
        <w:rPr>
          <w:i/>
          <w:iCs/>
          <w:lang w:val="en-US"/>
        </w:rPr>
        <w:t xml:space="preserve">N </w:t>
      </w:r>
      <w:proofErr w:type="spellStart"/>
      <w:r w:rsidRPr="0077782A">
        <w:rPr>
          <w:i/>
          <w:iCs/>
          <w:lang w:val="en-US"/>
        </w:rPr>
        <w:t>Engl</w:t>
      </w:r>
      <w:proofErr w:type="spellEnd"/>
      <w:r w:rsidRPr="0077782A">
        <w:rPr>
          <w:i/>
          <w:iCs/>
          <w:lang w:val="en-US"/>
        </w:rPr>
        <w:t xml:space="preserve"> J Med</w:t>
      </w:r>
      <w:r w:rsidRPr="005C516C">
        <w:rPr>
          <w:lang w:val="en-US"/>
        </w:rPr>
        <w:t>. 2020;382(25):2419-2430.</w:t>
      </w:r>
      <w:r w:rsidRPr="005C516C">
        <w:rPr>
          <w:lang w:val="en-US"/>
        </w:rPr>
        <w:br/>
        <w:t xml:space="preserve">https://pubmed.ncbi.nlm.nih.gov/32469182/ </w:t>
      </w:r>
    </w:p>
    <w:p w14:paraId="361EF7F3" w14:textId="00A02B36" w:rsidR="002F78F6" w:rsidRDefault="002F78F6" w:rsidP="002F78F6">
      <w:pPr>
        <w:pStyle w:val="NormalWeb"/>
      </w:pPr>
      <w:proofErr w:type="spellStart"/>
      <w:r>
        <w:t>Shimomura</w:t>
      </w:r>
      <w:proofErr w:type="spellEnd"/>
      <w:r>
        <w:t xml:space="preserve"> A, </w:t>
      </w:r>
      <w:proofErr w:type="spellStart"/>
      <w:r>
        <w:t>Takano</w:t>
      </w:r>
      <w:proofErr w:type="spellEnd"/>
      <w:r>
        <w:t xml:space="preserve"> T, Takahashi S, et al. </w:t>
      </w:r>
      <w:proofErr w:type="spellStart"/>
      <w:r w:rsidRPr="00AB41AC">
        <w:t>Effect</w:t>
      </w:r>
      <w:proofErr w:type="spellEnd"/>
      <w:r w:rsidRPr="00AB41AC">
        <w:t xml:space="preserve"> of trastuzumab </w:t>
      </w:r>
      <w:proofErr w:type="spellStart"/>
      <w:r w:rsidRPr="00AB41AC">
        <w:t>deruxtecan</w:t>
      </w:r>
      <w:proofErr w:type="spellEnd"/>
      <w:r w:rsidRPr="00AB41AC">
        <w:t xml:space="preserve"> on QT/</w:t>
      </w:r>
      <w:proofErr w:type="spellStart"/>
      <w:r w:rsidRPr="00AB41AC">
        <w:t>QTc</w:t>
      </w:r>
      <w:proofErr w:type="spellEnd"/>
      <w:r w:rsidRPr="00AB41AC">
        <w:t xml:space="preserve"> </w:t>
      </w:r>
      <w:proofErr w:type="spellStart"/>
      <w:r w:rsidRPr="00AB41AC">
        <w:t>interval</w:t>
      </w:r>
      <w:proofErr w:type="spellEnd"/>
      <w:r w:rsidRPr="00AB41AC">
        <w:t xml:space="preserve"> and </w:t>
      </w:r>
      <w:proofErr w:type="spellStart"/>
      <w:r w:rsidRPr="00AB41AC">
        <w:t>pharmacokinetics</w:t>
      </w:r>
      <w:proofErr w:type="spellEnd"/>
      <w:r w:rsidRPr="00AB41AC">
        <w:t xml:space="preserve"> in HER2-positive or HER2-low </w:t>
      </w:r>
      <w:proofErr w:type="spellStart"/>
      <w:r w:rsidRPr="00AB41AC">
        <w:t>metastatic</w:t>
      </w:r>
      <w:proofErr w:type="spellEnd"/>
      <w:r w:rsidRPr="00AB41AC">
        <w:t>/</w:t>
      </w:r>
      <w:proofErr w:type="spellStart"/>
      <w:r w:rsidRPr="00AB41AC">
        <w:t>unresectable</w:t>
      </w:r>
      <w:proofErr w:type="spellEnd"/>
      <w:r w:rsidRPr="00AB41AC">
        <w:t xml:space="preserve"> </w:t>
      </w:r>
      <w:proofErr w:type="spellStart"/>
      <w:r w:rsidRPr="00AB41AC">
        <w:t>breast</w:t>
      </w:r>
      <w:proofErr w:type="spellEnd"/>
      <w:r w:rsidRPr="00AB41AC">
        <w:t xml:space="preserve"> cancer</w:t>
      </w:r>
      <w:r>
        <w:t xml:space="preserve">. </w:t>
      </w:r>
      <w:r w:rsidRPr="0080228F">
        <w:rPr>
          <w:i/>
          <w:iCs/>
        </w:rPr>
        <w:t xml:space="preserve">Clin </w:t>
      </w:r>
      <w:proofErr w:type="spellStart"/>
      <w:r w:rsidRPr="0080228F">
        <w:rPr>
          <w:i/>
          <w:iCs/>
        </w:rPr>
        <w:t>Pharmacol</w:t>
      </w:r>
      <w:proofErr w:type="spellEnd"/>
      <w:r w:rsidRPr="0080228F">
        <w:rPr>
          <w:i/>
          <w:iCs/>
        </w:rPr>
        <w:t xml:space="preserve"> </w:t>
      </w:r>
      <w:proofErr w:type="spellStart"/>
      <w:r w:rsidRPr="0080228F">
        <w:rPr>
          <w:i/>
          <w:iCs/>
        </w:rPr>
        <w:t>Ther</w:t>
      </w:r>
      <w:proofErr w:type="spellEnd"/>
      <w:r>
        <w:t xml:space="preserve">. </w:t>
      </w:r>
      <w:proofErr w:type="gramStart"/>
      <w:r>
        <w:t>2023;</w:t>
      </w:r>
      <w:proofErr w:type="gramEnd"/>
      <w:r>
        <w:t xml:space="preserve">113(1):160-169. </w:t>
      </w:r>
      <w:r w:rsidRPr="00AB41AC">
        <w:t>https://www.ncbi.nlm.nih.gov/pmc/articles/PMC10092050/</w:t>
      </w:r>
    </w:p>
    <w:p w14:paraId="00D2E67B" w14:textId="77777777" w:rsidR="001D311F" w:rsidRDefault="002F78F6" w:rsidP="002F78F6">
      <w:pPr>
        <w:pStyle w:val="NormalWeb"/>
        <w:rPr>
          <w:lang w:val="en-US"/>
        </w:rPr>
      </w:pPr>
      <w:r w:rsidRPr="005C516C">
        <w:rPr>
          <w:lang w:val="en-US"/>
        </w:rPr>
        <w:t xml:space="preserve">Siena S, Bartolomeo MD, Raghav KPS,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(DS-8201) in patients with HER2-expressing metastatic colorectal cancer (DESTINY-CRC01): a </w:t>
      </w:r>
      <w:proofErr w:type="spellStart"/>
      <w:r w:rsidRPr="005C516C">
        <w:rPr>
          <w:lang w:val="en-US"/>
        </w:rPr>
        <w:t>multicentre</w:t>
      </w:r>
      <w:proofErr w:type="spellEnd"/>
      <w:r w:rsidRPr="005C516C">
        <w:rPr>
          <w:lang w:val="en-US"/>
        </w:rPr>
        <w:t xml:space="preserve">, open-label, phase 2 trial. </w:t>
      </w:r>
      <w:r w:rsidRPr="00AB5301">
        <w:rPr>
          <w:i/>
          <w:iCs/>
          <w:lang w:val="en-US"/>
        </w:rPr>
        <w:t>Lancet Oncol</w:t>
      </w:r>
      <w:r w:rsidRPr="005C516C">
        <w:rPr>
          <w:lang w:val="en-US"/>
        </w:rPr>
        <w:t>. 2021;</w:t>
      </w:r>
      <w:r>
        <w:rPr>
          <w:lang w:val="en-US"/>
        </w:rPr>
        <w:t xml:space="preserve">22(6):779-789. </w:t>
      </w:r>
      <w:r w:rsidRPr="005C516C">
        <w:rPr>
          <w:lang w:val="en-US"/>
        </w:rPr>
        <w:t xml:space="preserve">https://pubmed.ncbi.nlm.nih.gov/33961795/ </w:t>
      </w:r>
      <w:r w:rsidRPr="005C516C">
        <w:rPr>
          <w:lang w:val="en-US"/>
        </w:rPr>
        <w:br/>
      </w:r>
      <w:r w:rsidRPr="005C516C">
        <w:rPr>
          <w:lang w:val="en-US"/>
        </w:rPr>
        <w:br/>
        <w:t xml:space="preserve">Smit EF, Nakagawa K, Nagasaka M, et al.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(T-DXd; DS-8201) in patients with HER2-mutated metastatic non-small cell lung cancer (NSCLC): Interim results of DESTINY-Lung01. </w:t>
      </w:r>
      <w:r w:rsidRPr="00AB5301">
        <w:rPr>
          <w:i/>
          <w:iCs/>
          <w:lang w:val="en-US"/>
        </w:rPr>
        <w:t>J Clin Oncol</w:t>
      </w:r>
      <w:r>
        <w:rPr>
          <w:lang w:val="en-US"/>
        </w:rPr>
        <w:t>.</w:t>
      </w:r>
      <w:r w:rsidRPr="005C516C">
        <w:rPr>
          <w:lang w:val="en-US"/>
        </w:rPr>
        <w:t xml:space="preserve"> 2020</w:t>
      </w:r>
      <w:r>
        <w:rPr>
          <w:lang w:val="en-US"/>
        </w:rPr>
        <w:t>;38</w:t>
      </w:r>
      <w:r w:rsidRPr="005C516C">
        <w:rPr>
          <w:lang w:val="en-US"/>
        </w:rPr>
        <w:t>(suppl</w:t>
      </w:r>
      <w:r>
        <w:rPr>
          <w:lang w:val="en-US"/>
        </w:rPr>
        <w:t>). A</w:t>
      </w:r>
      <w:r w:rsidRPr="005C516C">
        <w:rPr>
          <w:lang w:val="en-US"/>
        </w:rPr>
        <w:t>bstr</w:t>
      </w:r>
      <w:r>
        <w:rPr>
          <w:lang w:val="en-US"/>
        </w:rPr>
        <w:t>act</w:t>
      </w:r>
      <w:r w:rsidRPr="005C516C">
        <w:rPr>
          <w:lang w:val="en-US"/>
        </w:rPr>
        <w:t xml:space="preserve"> 9504.</w:t>
      </w:r>
    </w:p>
    <w:p w14:paraId="0E6778C5" w14:textId="7B453FA6" w:rsidR="001D311F" w:rsidRDefault="001D311F" w:rsidP="002F78F6">
      <w:pPr>
        <w:pStyle w:val="NormalWeb"/>
        <w:rPr>
          <w:lang w:val="en-US"/>
        </w:rPr>
      </w:pPr>
      <w:proofErr w:type="spellStart"/>
      <w:r>
        <w:t>Tamura</w:t>
      </w:r>
      <w:proofErr w:type="spellEnd"/>
      <w:r>
        <w:t xml:space="preserve"> K, </w:t>
      </w:r>
      <w:proofErr w:type="spellStart"/>
      <w:r>
        <w:t>Tsurutani</w:t>
      </w:r>
      <w:proofErr w:type="spellEnd"/>
      <w:r>
        <w:t xml:space="preserve"> J, Takahashi S, et al. </w:t>
      </w:r>
      <w:r w:rsidRPr="005C516C">
        <w:rPr>
          <w:lang w:val="en-US"/>
        </w:rPr>
        <w:t xml:space="preserve">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(DS-8201a) in patients with advanced HER2-positive breast cancer previously treated with trastuzumab emtansine: a dose-expansion, phase 1 study. </w:t>
      </w:r>
      <w:r w:rsidRPr="003A5709">
        <w:rPr>
          <w:i/>
          <w:iCs/>
        </w:rPr>
        <w:t xml:space="preserve">Lancet </w:t>
      </w:r>
      <w:proofErr w:type="spellStart"/>
      <w:r w:rsidRPr="003A5709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2019;</w:t>
      </w:r>
      <w:proofErr w:type="gramEnd"/>
      <w:r>
        <w:t>20(6):816-826.</w:t>
      </w:r>
      <w:r>
        <w:br/>
        <w:t>https://www.ncbi.nlm.nih.gov/pubmed/31047803</w:t>
      </w:r>
    </w:p>
    <w:p w14:paraId="41EB3765" w14:textId="77777777" w:rsidR="001D311F" w:rsidRDefault="001D311F" w:rsidP="002F78F6">
      <w:pPr>
        <w:pStyle w:val="NormalWeb"/>
      </w:pPr>
      <w:r w:rsidRPr="005C516C">
        <w:rPr>
          <w:lang w:val="en-US"/>
        </w:rPr>
        <w:t xml:space="preserve">Tarantino P, Hamilton E, </w:t>
      </w:r>
      <w:proofErr w:type="spellStart"/>
      <w:r w:rsidRPr="005C516C">
        <w:rPr>
          <w:lang w:val="en-US"/>
        </w:rPr>
        <w:t>Tolaney</w:t>
      </w:r>
      <w:proofErr w:type="spellEnd"/>
      <w:r w:rsidRPr="005C516C">
        <w:rPr>
          <w:lang w:val="en-US"/>
        </w:rPr>
        <w:t xml:space="preserve"> SM, et al. HER2-low breast cancer: pathological and clinical landscape. </w:t>
      </w:r>
      <w:r w:rsidRPr="00D07E4C">
        <w:rPr>
          <w:i/>
          <w:iCs/>
          <w:lang w:val="en-US"/>
        </w:rPr>
        <w:t>J Clin Oncol</w:t>
      </w:r>
      <w:r w:rsidRPr="005C516C">
        <w:rPr>
          <w:lang w:val="en-US"/>
        </w:rPr>
        <w:t xml:space="preserve">. </w:t>
      </w:r>
      <w:proofErr w:type="gramStart"/>
      <w:r>
        <w:t>2020;</w:t>
      </w:r>
      <w:proofErr w:type="gramEnd"/>
      <w:r>
        <w:t xml:space="preserve">38(17):1951-1962. </w:t>
      </w:r>
      <w:proofErr w:type="spellStart"/>
      <w:proofErr w:type="gramStart"/>
      <w:r>
        <w:t>doi</w:t>
      </w:r>
      <w:proofErr w:type="spellEnd"/>
      <w:r>
        <w:t>:</w:t>
      </w:r>
      <w:proofErr w:type="gramEnd"/>
      <w:r>
        <w:t xml:space="preserve"> 10.1200/JCO.19.02488.</w:t>
      </w:r>
      <w:r>
        <w:br/>
        <w:t xml:space="preserve">https://pubmed.ncbi.nlm.nih.gov/32330069/ </w:t>
      </w:r>
    </w:p>
    <w:p w14:paraId="5F1835C5" w14:textId="27249815" w:rsidR="002F78F6" w:rsidRDefault="002F78F6" w:rsidP="002F78F6">
      <w:pPr>
        <w:pStyle w:val="NormalWeb"/>
      </w:pPr>
      <w:r>
        <w:t xml:space="preserve">Tarantino P, </w:t>
      </w:r>
      <w:proofErr w:type="spellStart"/>
      <w:r>
        <w:t>Curigliano</w:t>
      </w:r>
      <w:proofErr w:type="spellEnd"/>
      <w:r>
        <w:t xml:space="preserve"> G, </w:t>
      </w:r>
      <w:proofErr w:type="spellStart"/>
      <w:r>
        <w:t>Tolaney</w:t>
      </w:r>
      <w:proofErr w:type="spellEnd"/>
      <w:r>
        <w:t xml:space="preserve"> SM. </w:t>
      </w:r>
      <w:proofErr w:type="spellStart"/>
      <w:r>
        <w:t>Navigating</w:t>
      </w:r>
      <w:proofErr w:type="spellEnd"/>
      <w:r>
        <w:t xml:space="preserve"> the HER2-low </w:t>
      </w:r>
      <w:proofErr w:type="spellStart"/>
      <w:r>
        <w:t>paradigm</w:t>
      </w:r>
      <w:proofErr w:type="spellEnd"/>
      <w:r>
        <w:t xml:space="preserve"> in </w:t>
      </w:r>
      <w:proofErr w:type="spellStart"/>
      <w:r>
        <w:t>breast</w:t>
      </w:r>
      <w:proofErr w:type="spellEnd"/>
      <w:r>
        <w:t xml:space="preserve"> </w:t>
      </w:r>
      <w:proofErr w:type="spellStart"/>
      <w:proofErr w:type="gramStart"/>
      <w:r>
        <w:t>oncology</w:t>
      </w:r>
      <w:proofErr w:type="spellEnd"/>
      <w:r>
        <w:t>:</w:t>
      </w:r>
      <w:proofErr w:type="gramEnd"/>
      <w:r>
        <w:t xml:space="preserve"> new standards, future horizons. </w:t>
      </w:r>
      <w:r w:rsidRPr="00DA46BD">
        <w:rPr>
          <w:i/>
          <w:iCs/>
        </w:rPr>
        <w:t xml:space="preserve">Cancer </w:t>
      </w:r>
      <w:proofErr w:type="spellStart"/>
      <w:r w:rsidRPr="00DA46BD">
        <w:rPr>
          <w:i/>
          <w:iCs/>
        </w:rPr>
        <w:t>Discov</w:t>
      </w:r>
      <w:proofErr w:type="spellEnd"/>
      <w:r>
        <w:t xml:space="preserve">. </w:t>
      </w:r>
      <w:proofErr w:type="gramStart"/>
      <w:r>
        <w:t>2022;</w:t>
      </w:r>
      <w:proofErr w:type="gramEnd"/>
      <w:r>
        <w:t xml:space="preserve">12(9):2026-2030. </w:t>
      </w:r>
      <w:r w:rsidRPr="00B612FD">
        <w:t>https://pubmed.ncbi.nlm.nih.gov/35856622/</w:t>
      </w:r>
    </w:p>
    <w:p w14:paraId="2E37FD75" w14:textId="77777777" w:rsidR="002F78F6" w:rsidRDefault="002F78F6" w:rsidP="002F78F6">
      <w:pPr>
        <w:pStyle w:val="NormalWeb"/>
      </w:pPr>
      <w:r>
        <w:t>T-</w:t>
      </w:r>
      <w:proofErr w:type="gramStart"/>
      <w:r>
        <w:t>DXd:</w:t>
      </w:r>
      <w:proofErr w:type="gramEnd"/>
      <w:r>
        <w:t xml:space="preserve"> New Standard for HER2-low </w:t>
      </w:r>
      <w:proofErr w:type="spellStart"/>
      <w:r>
        <w:t>breast</w:t>
      </w:r>
      <w:proofErr w:type="spellEnd"/>
      <w:r>
        <w:t xml:space="preserve"> cancer. </w:t>
      </w:r>
      <w:r w:rsidRPr="00E95FC6">
        <w:rPr>
          <w:i/>
          <w:iCs/>
        </w:rPr>
        <w:t xml:space="preserve">Cancer </w:t>
      </w:r>
      <w:proofErr w:type="spellStart"/>
      <w:r w:rsidRPr="00E95FC6">
        <w:rPr>
          <w:i/>
          <w:iCs/>
        </w:rPr>
        <w:t>Discov</w:t>
      </w:r>
      <w:proofErr w:type="spellEnd"/>
      <w:r>
        <w:t xml:space="preserve">. </w:t>
      </w:r>
      <w:proofErr w:type="gramStart"/>
      <w:r>
        <w:t>2022;</w:t>
      </w:r>
      <w:proofErr w:type="gramEnd"/>
      <w:r>
        <w:t xml:space="preserve">12(8):1828. </w:t>
      </w:r>
      <w:r w:rsidRPr="00893835">
        <w:t>https://pubmed.ncbi.nlm.nih.gov/35666611/</w:t>
      </w:r>
    </w:p>
    <w:p w14:paraId="79308CA5" w14:textId="71B3D4C1" w:rsidR="001D311F" w:rsidRDefault="001D311F" w:rsidP="00AB41AC">
      <w:pPr>
        <w:pStyle w:val="NormalWeb"/>
      </w:pPr>
      <w:proofErr w:type="spellStart"/>
      <w:r>
        <w:t>Tsurutani</w:t>
      </w:r>
      <w:proofErr w:type="spellEnd"/>
      <w:r>
        <w:t xml:space="preserve"> J, Iwata H, Krop I, et al. </w:t>
      </w:r>
      <w:r w:rsidRPr="005C516C">
        <w:rPr>
          <w:lang w:val="en-US"/>
        </w:rPr>
        <w:t>Targeting HER2 with trastuzumab</w:t>
      </w:r>
      <w:r w:rsidRPr="005C516C">
        <w:rPr>
          <w:lang w:val="en-US"/>
        </w:rPr>
        <w:br/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: a dose-expansion, phase I study in multiple advanced solid tumors. </w:t>
      </w:r>
      <w:r w:rsidRPr="0059403D">
        <w:rPr>
          <w:i/>
          <w:iCs/>
          <w:lang w:val="en-US"/>
        </w:rPr>
        <w:t xml:space="preserve">Cancer </w:t>
      </w:r>
      <w:proofErr w:type="spellStart"/>
      <w:r w:rsidRPr="0059403D">
        <w:rPr>
          <w:i/>
          <w:iCs/>
          <w:lang w:val="en-US"/>
        </w:rPr>
        <w:t>Discov</w:t>
      </w:r>
      <w:proofErr w:type="spellEnd"/>
      <w:r w:rsidRPr="005C516C">
        <w:rPr>
          <w:lang w:val="en-US"/>
        </w:rPr>
        <w:t>. 2020;10(5):688-701.</w:t>
      </w:r>
      <w:r>
        <w:rPr>
          <w:lang w:val="en-US"/>
        </w:rPr>
        <w:t xml:space="preserve"> </w:t>
      </w:r>
      <w:r w:rsidRPr="005C516C">
        <w:rPr>
          <w:lang w:val="en-US"/>
        </w:rPr>
        <w:t>https://www.ncbi.nlm.nih.gov/pubmed/32213540</w:t>
      </w:r>
    </w:p>
    <w:p w14:paraId="0F0AFF53" w14:textId="24DD880B" w:rsidR="00AB41AC" w:rsidRDefault="00AB41AC" w:rsidP="00AB41AC">
      <w:pPr>
        <w:pStyle w:val="NormalWeb"/>
      </w:pPr>
      <w:r>
        <w:t xml:space="preserve">Yamaguchi K, Bang Y-J, </w:t>
      </w:r>
      <w:proofErr w:type="spellStart"/>
      <w:r>
        <w:t>Iwasa</w:t>
      </w:r>
      <w:proofErr w:type="spellEnd"/>
      <w:r>
        <w:t xml:space="preserve"> S, et al. </w:t>
      </w:r>
      <w:r w:rsidRPr="00AB41AC">
        <w:t xml:space="preserve">Trastuzumab </w:t>
      </w:r>
      <w:proofErr w:type="spellStart"/>
      <w:r w:rsidR="00EA041F" w:rsidRPr="00AB41AC">
        <w:t>deruxtecan</w:t>
      </w:r>
      <w:proofErr w:type="spellEnd"/>
      <w:r w:rsidR="00EA041F" w:rsidRPr="00AB41AC">
        <w:t xml:space="preserve"> in anti-</w:t>
      </w:r>
      <w:proofErr w:type="spellStart"/>
      <w:r w:rsidR="00EA041F" w:rsidRPr="00AB41AC">
        <w:t>human</w:t>
      </w:r>
      <w:proofErr w:type="spellEnd"/>
      <w:r w:rsidR="00EA041F" w:rsidRPr="00AB41AC">
        <w:t xml:space="preserve"> </w:t>
      </w:r>
      <w:proofErr w:type="spellStart"/>
      <w:r w:rsidR="00EA041F" w:rsidRPr="00AB41AC">
        <w:t>epidermal</w:t>
      </w:r>
      <w:proofErr w:type="spellEnd"/>
      <w:r w:rsidR="00EA041F" w:rsidRPr="00AB41AC">
        <w:t xml:space="preserve"> </w:t>
      </w:r>
      <w:proofErr w:type="spellStart"/>
      <w:r w:rsidR="00EA041F" w:rsidRPr="00AB41AC">
        <w:t>growth</w:t>
      </w:r>
      <w:proofErr w:type="spellEnd"/>
      <w:r w:rsidR="00EA041F" w:rsidRPr="00AB41AC">
        <w:t xml:space="preserve"> factor </w:t>
      </w:r>
      <w:proofErr w:type="spellStart"/>
      <w:r w:rsidR="00EA041F" w:rsidRPr="00AB41AC">
        <w:t>receptor</w:t>
      </w:r>
      <w:proofErr w:type="spellEnd"/>
      <w:r w:rsidR="00EA041F" w:rsidRPr="00AB41AC">
        <w:t xml:space="preserve"> 2 </w:t>
      </w:r>
      <w:proofErr w:type="spellStart"/>
      <w:r w:rsidR="00EA041F" w:rsidRPr="00AB41AC">
        <w:t>treatment-naive</w:t>
      </w:r>
      <w:proofErr w:type="spellEnd"/>
      <w:r w:rsidR="00EA041F" w:rsidRPr="00AB41AC">
        <w:t xml:space="preserve"> patients </w:t>
      </w:r>
      <w:proofErr w:type="spellStart"/>
      <w:r w:rsidR="00EA041F" w:rsidRPr="00AB41AC">
        <w:t>with</w:t>
      </w:r>
      <w:proofErr w:type="spellEnd"/>
      <w:r w:rsidR="00EA041F" w:rsidRPr="00AB41AC">
        <w:t xml:space="preserve"> </w:t>
      </w:r>
      <w:proofErr w:type="spellStart"/>
      <w:r w:rsidR="00EA041F" w:rsidRPr="00AB41AC">
        <w:t>human</w:t>
      </w:r>
      <w:proofErr w:type="spellEnd"/>
      <w:r w:rsidR="00EA041F" w:rsidRPr="00AB41AC">
        <w:t xml:space="preserve"> </w:t>
      </w:r>
      <w:proofErr w:type="spellStart"/>
      <w:r w:rsidR="00EA041F" w:rsidRPr="00AB41AC">
        <w:t>epidermal</w:t>
      </w:r>
      <w:proofErr w:type="spellEnd"/>
      <w:r w:rsidR="00EA041F" w:rsidRPr="00AB41AC">
        <w:t xml:space="preserve"> </w:t>
      </w:r>
      <w:proofErr w:type="spellStart"/>
      <w:r w:rsidR="00EA041F" w:rsidRPr="00AB41AC">
        <w:t>growth</w:t>
      </w:r>
      <w:proofErr w:type="spellEnd"/>
      <w:r w:rsidR="00EA041F" w:rsidRPr="00AB41AC">
        <w:t xml:space="preserve"> factor </w:t>
      </w:r>
      <w:proofErr w:type="spellStart"/>
      <w:r w:rsidR="00EA041F" w:rsidRPr="00AB41AC">
        <w:t>receptor</w:t>
      </w:r>
      <w:proofErr w:type="spellEnd"/>
      <w:r w:rsidR="00EA041F" w:rsidRPr="00AB41AC">
        <w:t xml:space="preserve"> 2-low </w:t>
      </w:r>
      <w:proofErr w:type="spellStart"/>
      <w:r w:rsidR="00EA041F" w:rsidRPr="00AB41AC">
        <w:t>gastric</w:t>
      </w:r>
      <w:proofErr w:type="spellEnd"/>
      <w:r w:rsidR="00EA041F" w:rsidRPr="00AB41AC">
        <w:t xml:space="preserve"> or </w:t>
      </w:r>
      <w:proofErr w:type="spellStart"/>
      <w:r w:rsidR="00EA041F" w:rsidRPr="00AB41AC">
        <w:t>gastroesophageal</w:t>
      </w:r>
      <w:proofErr w:type="spellEnd"/>
      <w:r w:rsidR="00EA041F" w:rsidRPr="00AB41AC">
        <w:t xml:space="preserve"> </w:t>
      </w:r>
      <w:proofErr w:type="spellStart"/>
      <w:r w:rsidR="00EA041F" w:rsidRPr="00AB41AC">
        <w:t>junction</w:t>
      </w:r>
      <w:proofErr w:type="spellEnd"/>
      <w:r w:rsidR="00EA041F" w:rsidRPr="00AB41AC">
        <w:t xml:space="preserve"> </w:t>
      </w:r>
      <w:proofErr w:type="spellStart"/>
      <w:proofErr w:type="gramStart"/>
      <w:r w:rsidR="00EA041F" w:rsidRPr="00AB41AC">
        <w:t>adenocarcinoma</w:t>
      </w:r>
      <w:proofErr w:type="spellEnd"/>
      <w:r w:rsidR="00EA041F" w:rsidRPr="00AB41AC">
        <w:t>:</w:t>
      </w:r>
      <w:proofErr w:type="gramEnd"/>
      <w:r w:rsidR="00EA041F" w:rsidRPr="00AB41AC">
        <w:t xml:space="preserve"> </w:t>
      </w:r>
      <w:proofErr w:type="spellStart"/>
      <w:r w:rsidR="00EA041F" w:rsidRPr="00AB41AC">
        <w:t>exploratory</w:t>
      </w:r>
      <w:proofErr w:type="spellEnd"/>
      <w:r w:rsidR="00EA041F" w:rsidRPr="00AB41AC">
        <w:t xml:space="preserve"> </w:t>
      </w:r>
      <w:proofErr w:type="spellStart"/>
      <w:r w:rsidR="00EA041F" w:rsidRPr="00AB41AC">
        <w:t>cohort</w:t>
      </w:r>
      <w:proofErr w:type="spellEnd"/>
      <w:r w:rsidR="00EA041F" w:rsidRPr="00AB41AC">
        <w:t xml:space="preserve"> </w:t>
      </w:r>
      <w:proofErr w:type="spellStart"/>
      <w:r w:rsidR="00EA041F" w:rsidRPr="00AB41AC">
        <w:t>results</w:t>
      </w:r>
      <w:proofErr w:type="spellEnd"/>
      <w:r w:rsidR="00EA041F" w:rsidRPr="00AB41AC">
        <w:t xml:space="preserve"> in a pha</w:t>
      </w:r>
      <w:r w:rsidRPr="00AB41AC">
        <w:t xml:space="preserve">se II </w:t>
      </w:r>
      <w:r w:rsidR="00EA041F">
        <w:t>t</w:t>
      </w:r>
      <w:r w:rsidRPr="00AB41AC">
        <w:t>rial</w:t>
      </w:r>
      <w:r>
        <w:t xml:space="preserve">. </w:t>
      </w:r>
      <w:r w:rsidRPr="00F419EA">
        <w:rPr>
          <w:i/>
          <w:iCs/>
        </w:rPr>
        <w:t xml:space="preserve">J Clin </w:t>
      </w:r>
      <w:proofErr w:type="spellStart"/>
      <w:r w:rsidRPr="00F419EA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2023;</w:t>
      </w:r>
      <w:proofErr w:type="gramEnd"/>
      <w:r>
        <w:t xml:space="preserve">41(4):816-825. </w:t>
      </w:r>
      <w:r w:rsidRPr="00AB41AC">
        <w:t>https://www.ncbi.nlm.nih.gov/pmc/articles/PMC9901967/</w:t>
      </w:r>
    </w:p>
    <w:p w14:paraId="733AF47B" w14:textId="550F8FFA" w:rsidR="005C4F8C" w:rsidRPr="005C516C" w:rsidRDefault="005C516C" w:rsidP="00F419EA">
      <w:pPr>
        <w:pStyle w:val="NormalWeb"/>
        <w:rPr>
          <w:lang w:val="en-US"/>
        </w:rPr>
      </w:pPr>
      <w:proofErr w:type="spellStart"/>
      <w:r w:rsidRPr="005C516C">
        <w:rPr>
          <w:lang w:val="en-US"/>
        </w:rPr>
        <w:t>Yver</w:t>
      </w:r>
      <w:proofErr w:type="spellEnd"/>
      <w:r w:rsidRPr="005C516C">
        <w:rPr>
          <w:lang w:val="en-US"/>
        </w:rPr>
        <w:t xml:space="preserve"> A, </w:t>
      </w:r>
      <w:proofErr w:type="spellStart"/>
      <w:r w:rsidRPr="005C516C">
        <w:rPr>
          <w:lang w:val="en-US"/>
        </w:rPr>
        <w:t>Agatsuma</w:t>
      </w:r>
      <w:proofErr w:type="spellEnd"/>
      <w:r w:rsidRPr="005C516C">
        <w:rPr>
          <w:lang w:val="en-US"/>
        </w:rPr>
        <w:t xml:space="preserve"> T, Soria JC. The art of innovation: clinical development of trastuzumab </w:t>
      </w:r>
      <w:proofErr w:type="spellStart"/>
      <w:r w:rsidRPr="005C516C">
        <w:rPr>
          <w:lang w:val="en-US"/>
        </w:rPr>
        <w:t>deruxtecan</w:t>
      </w:r>
      <w:proofErr w:type="spellEnd"/>
      <w:r w:rsidRPr="005C516C">
        <w:rPr>
          <w:lang w:val="en-US"/>
        </w:rPr>
        <w:t xml:space="preserve"> and redefining how antibody-drug conjugates target HER2-positive cancers.</w:t>
      </w:r>
      <w:r w:rsidRPr="00F419EA">
        <w:rPr>
          <w:i/>
          <w:iCs/>
          <w:lang w:val="en-US"/>
        </w:rPr>
        <w:t xml:space="preserve"> </w:t>
      </w:r>
      <w:r w:rsidRPr="00F419EA">
        <w:rPr>
          <w:i/>
          <w:iCs/>
        </w:rPr>
        <w:t xml:space="preserve">Ann </w:t>
      </w:r>
      <w:proofErr w:type="spellStart"/>
      <w:r w:rsidRPr="00F419EA">
        <w:rPr>
          <w:i/>
          <w:iCs/>
        </w:rPr>
        <w:t>Oncol</w:t>
      </w:r>
      <w:proofErr w:type="spellEnd"/>
      <w:r>
        <w:t xml:space="preserve">. </w:t>
      </w:r>
      <w:proofErr w:type="gramStart"/>
      <w:r>
        <w:t>2020;</w:t>
      </w:r>
      <w:proofErr w:type="gramEnd"/>
      <w:r>
        <w:t>31(3):430-434.</w:t>
      </w:r>
      <w:r w:rsidR="00694EBF">
        <w:t xml:space="preserve"> </w:t>
      </w:r>
      <w:r>
        <w:t xml:space="preserve">https://www.ncbi.nlm.nih.gov/pubmed/32067685 </w:t>
      </w:r>
      <w:r>
        <w:br/>
      </w:r>
      <w:r>
        <w:br/>
      </w:r>
    </w:p>
    <w:sectPr w:rsidR="005C4F8C" w:rsidRPr="005C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86D"/>
    <w:rsid w:val="00012087"/>
    <w:rsid w:val="00014612"/>
    <w:rsid w:val="000274DB"/>
    <w:rsid w:val="00032E37"/>
    <w:rsid w:val="00040C94"/>
    <w:rsid w:val="00044246"/>
    <w:rsid w:val="00046253"/>
    <w:rsid w:val="0005153E"/>
    <w:rsid w:val="000520EC"/>
    <w:rsid w:val="0006052E"/>
    <w:rsid w:val="00063892"/>
    <w:rsid w:val="00075F7E"/>
    <w:rsid w:val="000B0DF7"/>
    <w:rsid w:val="000C02A1"/>
    <w:rsid w:val="000C6BC1"/>
    <w:rsid w:val="000D1E83"/>
    <w:rsid w:val="000D21D7"/>
    <w:rsid w:val="000E34A2"/>
    <w:rsid w:val="000E50FA"/>
    <w:rsid w:val="000F5D7F"/>
    <w:rsid w:val="001047DA"/>
    <w:rsid w:val="00107968"/>
    <w:rsid w:val="00112304"/>
    <w:rsid w:val="0013307A"/>
    <w:rsid w:val="00144455"/>
    <w:rsid w:val="001542A2"/>
    <w:rsid w:val="001553CF"/>
    <w:rsid w:val="00160AC2"/>
    <w:rsid w:val="00161FDE"/>
    <w:rsid w:val="00166600"/>
    <w:rsid w:val="0017077C"/>
    <w:rsid w:val="001719E0"/>
    <w:rsid w:val="001810AF"/>
    <w:rsid w:val="001B041F"/>
    <w:rsid w:val="001B241C"/>
    <w:rsid w:val="001C4045"/>
    <w:rsid w:val="001D311F"/>
    <w:rsid w:val="001E73C3"/>
    <w:rsid w:val="001F4B97"/>
    <w:rsid w:val="00203386"/>
    <w:rsid w:val="00204602"/>
    <w:rsid w:val="00204F0D"/>
    <w:rsid w:val="00207031"/>
    <w:rsid w:val="002264BF"/>
    <w:rsid w:val="002419BA"/>
    <w:rsid w:val="00260F4A"/>
    <w:rsid w:val="00264CEF"/>
    <w:rsid w:val="002722F0"/>
    <w:rsid w:val="00283DB2"/>
    <w:rsid w:val="002955DD"/>
    <w:rsid w:val="002A5108"/>
    <w:rsid w:val="002A68AD"/>
    <w:rsid w:val="002A6BBB"/>
    <w:rsid w:val="002C2602"/>
    <w:rsid w:val="002D2CCA"/>
    <w:rsid w:val="002F339F"/>
    <w:rsid w:val="002F78F6"/>
    <w:rsid w:val="003046D8"/>
    <w:rsid w:val="00307060"/>
    <w:rsid w:val="003310CE"/>
    <w:rsid w:val="00333D3E"/>
    <w:rsid w:val="00342122"/>
    <w:rsid w:val="00343726"/>
    <w:rsid w:val="00384E99"/>
    <w:rsid w:val="00391B7A"/>
    <w:rsid w:val="003A271C"/>
    <w:rsid w:val="003B2AE1"/>
    <w:rsid w:val="003C1936"/>
    <w:rsid w:val="003D2833"/>
    <w:rsid w:val="003D4A79"/>
    <w:rsid w:val="003E042F"/>
    <w:rsid w:val="003F4827"/>
    <w:rsid w:val="003F5DC8"/>
    <w:rsid w:val="004002A9"/>
    <w:rsid w:val="00403D59"/>
    <w:rsid w:val="00414DBF"/>
    <w:rsid w:val="0041568F"/>
    <w:rsid w:val="00432970"/>
    <w:rsid w:val="004447D8"/>
    <w:rsid w:val="00445634"/>
    <w:rsid w:val="0047452C"/>
    <w:rsid w:val="00484736"/>
    <w:rsid w:val="004869DE"/>
    <w:rsid w:val="004B3292"/>
    <w:rsid w:val="004C0367"/>
    <w:rsid w:val="004E6243"/>
    <w:rsid w:val="005022B7"/>
    <w:rsid w:val="00502820"/>
    <w:rsid w:val="0051258F"/>
    <w:rsid w:val="00526E06"/>
    <w:rsid w:val="00530403"/>
    <w:rsid w:val="00533ECA"/>
    <w:rsid w:val="00553AE7"/>
    <w:rsid w:val="00585012"/>
    <w:rsid w:val="00594930"/>
    <w:rsid w:val="005970F3"/>
    <w:rsid w:val="005972C4"/>
    <w:rsid w:val="005A49DF"/>
    <w:rsid w:val="005C516C"/>
    <w:rsid w:val="005D256A"/>
    <w:rsid w:val="005D5DBF"/>
    <w:rsid w:val="005F1720"/>
    <w:rsid w:val="005F25AB"/>
    <w:rsid w:val="005F5BCC"/>
    <w:rsid w:val="00623545"/>
    <w:rsid w:val="00623A0E"/>
    <w:rsid w:val="006273CB"/>
    <w:rsid w:val="006349A2"/>
    <w:rsid w:val="006371AE"/>
    <w:rsid w:val="006565D0"/>
    <w:rsid w:val="00657AA2"/>
    <w:rsid w:val="00663B38"/>
    <w:rsid w:val="00675119"/>
    <w:rsid w:val="00681770"/>
    <w:rsid w:val="00685F66"/>
    <w:rsid w:val="00694EBF"/>
    <w:rsid w:val="006C0C01"/>
    <w:rsid w:val="006E100D"/>
    <w:rsid w:val="006E6CC9"/>
    <w:rsid w:val="006F0A92"/>
    <w:rsid w:val="00711E56"/>
    <w:rsid w:val="0072740E"/>
    <w:rsid w:val="0073565F"/>
    <w:rsid w:val="007374C1"/>
    <w:rsid w:val="007508BF"/>
    <w:rsid w:val="00754F40"/>
    <w:rsid w:val="00756B85"/>
    <w:rsid w:val="00761F69"/>
    <w:rsid w:val="007668D8"/>
    <w:rsid w:val="00771F1B"/>
    <w:rsid w:val="00773231"/>
    <w:rsid w:val="007806A9"/>
    <w:rsid w:val="007A3B02"/>
    <w:rsid w:val="007C0C4D"/>
    <w:rsid w:val="007E0C3C"/>
    <w:rsid w:val="007E706F"/>
    <w:rsid w:val="007E7727"/>
    <w:rsid w:val="00815DB0"/>
    <w:rsid w:val="0081774A"/>
    <w:rsid w:val="008266A5"/>
    <w:rsid w:val="00841411"/>
    <w:rsid w:val="00845C72"/>
    <w:rsid w:val="00851C17"/>
    <w:rsid w:val="00864CA2"/>
    <w:rsid w:val="00873D75"/>
    <w:rsid w:val="0087770F"/>
    <w:rsid w:val="00887E52"/>
    <w:rsid w:val="00893835"/>
    <w:rsid w:val="008C354C"/>
    <w:rsid w:val="008C7000"/>
    <w:rsid w:val="008D391B"/>
    <w:rsid w:val="008D4AAB"/>
    <w:rsid w:val="008F563A"/>
    <w:rsid w:val="0090131E"/>
    <w:rsid w:val="009036FA"/>
    <w:rsid w:val="00906EEE"/>
    <w:rsid w:val="0090740A"/>
    <w:rsid w:val="00913827"/>
    <w:rsid w:val="009170DD"/>
    <w:rsid w:val="0092335B"/>
    <w:rsid w:val="00944763"/>
    <w:rsid w:val="00947C9A"/>
    <w:rsid w:val="00953C39"/>
    <w:rsid w:val="00973471"/>
    <w:rsid w:val="00974D95"/>
    <w:rsid w:val="00976351"/>
    <w:rsid w:val="00981881"/>
    <w:rsid w:val="009919CB"/>
    <w:rsid w:val="009A45B5"/>
    <w:rsid w:val="009B12F6"/>
    <w:rsid w:val="009C1692"/>
    <w:rsid w:val="009D09DC"/>
    <w:rsid w:val="009F36BC"/>
    <w:rsid w:val="009F449B"/>
    <w:rsid w:val="00A0281A"/>
    <w:rsid w:val="00A1222A"/>
    <w:rsid w:val="00A13FA4"/>
    <w:rsid w:val="00A42764"/>
    <w:rsid w:val="00A44B2E"/>
    <w:rsid w:val="00A5154C"/>
    <w:rsid w:val="00A523C4"/>
    <w:rsid w:val="00A53915"/>
    <w:rsid w:val="00A53B82"/>
    <w:rsid w:val="00A625E9"/>
    <w:rsid w:val="00A648F5"/>
    <w:rsid w:val="00A65CB9"/>
    <w:rsid w:val="00A66B11"/>
    <w:rsid w:val="00A7678B"/>
    <w:rsid w:val="00A81DA2"/>
    <w:rsid w:val="00A822EE"/>
    <w:rsid w:val="00A85109"/>
    <w:rsid w:val="00A855EB"/>
    <w:rsid w:val="00A9395A"/>
    <w:rsid w:val="00A96B82"/>
    <w:rsid w:val="00AB41AC"/>
    <w:rsid w:val="00AB4262"/>
    <w:rsid w:val="00AC3668"/>
    <w:rsid w:val="00AD0135"/>
    <w:rsid w:val="00AD696F"/>
    <w:rsid w:val="00AE4A80"/>
    <w:rsid w:val="00B026D7"/>
    <w:rsid w:val="00B033C0"/>
    <w:rsid w:val="00B07C75"/>
    <w:rsid w:val="00B163F6"/>
    <w:rsid w:val="00B238D0"/>
    <w:rsid w:val="00B3286D"/>
    <w:rsid w:val="00B426F5"/>
    <w:rsid w:val="00B450D8"/>
    <w:rsid w:val="00B612FD"/>
    <w:rsid w:val="00B83A83"/>
    <w:rsid w:val="00B85CAE"/>
    <w:rsid w:val="00B904EB"/>
    <w:rsid w:val="00B95751"/>
    <w:rsid w:val="00BA15E8"/>
    <w:rsid w:val="00BB4884"/>
    <w:rsid w:val="00BC13F7"/>
    <w:rsid w:val="00BC6848"/>
    <w:rsid w:val="00BF087D"/>
    <w:rsid w:val="00BF0A5B"/>
    <w:rsid w:val="00BF16BE"/>
    <w:rsid w:val="00BF2E82"/>
    <w:rsid w:val="00BF3C27"/>
    <w:rsid w:val="00BF5079"/>
    <w:rsid w:val="00BF618C"/>
    <w:rsid w:val="00C035CB"/>
    <w:rsid w:val="00C21243"/>
    <w:rsid w:val="00C364C8"/>
    <w:rsid w:val="00C459F3"/>
    <w:rsid w:val="00C567EB"/>
    <w:rsid w:val="00C62D5E"/>
    <w:rsid w:val="00C63E65"/>
    <w:rsid w:val="00C65A25"/>
    <w:rsid w:val="00C71983"/>
    <w:rsid w:val="00C75859"/>
    <w:rsid w:val="00C82026"/>
    <w:rsid w:val="00C87C2F"/>
    <w:rsid w:val="00CA450F"/>
    <w:rsid w:val="00CA7F98"/>
    <w:rsid w:val="00CB733B"/>
    <w:rsid w:val="00CB7DF2"/>
    <w:rsid w:val="00CC4311"/>
    <w:rsid w:val="00CD1A90"/>
    <w:rsid w:val="00CD5346"/>
    <w:rsid w:val="00CD726C"/>
    <w:rsid w:val="00CE3DC8"/>
    <w:rsid w:val="00CF5168"/>
    <w:rsid w:val="00D0727B"/>
    <w:rsid w:val="00D116D9"/>
    <w:rsid w:val="00D25577"/>
    <w:rsid w:val="00D3093B"/>
    <w:rsid w:val="00D31B72"/>
    <w:rsid w:val="00D347BB"/>
    <w:rsid w:val="00D43650"/>
    <w:rsid w:val="00D47727"/>
    <w:rsid w:val="00D70568"/>
    <w:rsid w:val="00D75855"/>
    <w:rsid w:val="00DA561F"/>
    <w:rsid w:val="00DA56BE"/>
    <w:rsid w:val="00DA6503"/>
    <w:rsid w:val="00DB03AC"/>
    <w:rsid w:val="00DB65E8"/>
    <w:rsid w:val="00DD0DC1"/>
    <w:rsid w:val="00DE1516"/>
    <w:rsid w:val="00DE71F8"/>
    <w:rsid w:val="00DF7C93"/>
    <w:rsid w:val="00E1016D"/>
    <w:rsid w:val="00E12B35"/>
    <w:rsid w:val="00E21311"/>
    <w:rsid w:val="00E6711A"/>
    <w:rsid w:val="00E84F84"/>
    <w:rsid w:val="00E92CCF"/>
    <w:rsid w:val="00E93DCF"/>
    <w:rsid w:val="00EA041F"/>
    <w:rsid w:val="00EC0D19"/>
    <w:rsid w:val="00EC1056"/>
    <w:rsid w:val="00EF4716"/>
    <w:rsid w:val="00EF557F"/>
    <w:rsid w:val="00EF697E"/>
    <w:rsid w:val="00F00104"/>
    <w:rsid w:val="00F12557"/>
    <w:rsid w:val="00F20F84"/>
    <w:rsid w:val="00F22FBF"/>
    <w:rsid w:val="00F419EA"/>
    <w:rsid w:val="00F619FD"/>
    <w:rsid w:val="00F72586"/>
    <w:rsid w:val="00F82838"/>
    <w:rsid w:val="00F87882"/>
    <w:rsid w:val="00F94B42"/>
    <w:rsid w:val="00FA125A"/>
    <w:rsid w:val="00FC1462"/>
    <w:rsid w:val="00FE0356"/>
    <w:rsid w:val="00FF3E78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07824"/>
  <w15:chartTrackingRefBased/>
  <w15:docId w15:val="{9A52F829-C4EB-4540-B786-0A3EB6C56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28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Heading2">
    <w:name w:val="heading 2"/>
    <w:basedOn w:val="Normal"/>
    <w:link w:val="Heading2Char"/>
    <w:uiPriority w:val="9"/>
    <w:qFormat/>
    <w:rsid w:val="00B328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286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B3286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B3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DefaultParagraphFont"/>
    <w:uiPriority w:val="99"/>
    <w:unhideWhenUsed/>
    <w:rsid w:val="00B3286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5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8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8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8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585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719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F16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7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2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Lacaze-masmonteil</dc:creator>
  <cp:keywords/>
  <dc:description/>
  <cp:lastModifiedBy>Heise, Staci</cp:lastModifiedBy>
  <cp:revision>27</cp:revision>
  <dcterms:created xsi:type="dcterms:W3CDTF">2023-05-02T16:19:00Z</dcterms:created>
  <dcterms:modified xsi:type="dcterms:W3CDTF">2023-05-16T12:00:00Z</dcterms:modified>
</cp:coreProperties>
</file>